
<file path=[Content_Types].xml><?xml version="1.0" encoding="utf-8"?>
<Types xmlns="http://schemas.openxmlformats.org/package/2006/content-types">
  <Default Extension="json" ContentType="application/vnd.baytech.electronic-signing-metadata+json"/>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baytech.com.au/ooxml/rels/electronic-signing-metadata" Target="baytech/electronic-signing-metadata.json"/><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80B11" w14:textId="77777777" w:rsidR="00C67F31" w:rsidRPr="00190901" w:rsidRDefault="00D74F25" w:rsidP="00367608">
      <w:pPr>
        <w:pStyle w:val="Style1"/>
      </w:pPr>
      <w:r>
        <w:t xml:space="preserve">Celebrating </w:t>
      </w:r>
      <w:r w:rsidRPr="00BD2487">
        <w:t>Reconciliation Grants 202</w:t>
      </w:r>
      <w:r>
        <w:t>6</w:t>
      </w:r>
      <w:r w:rsidRPr="00BD2487">
        <w:t xml:space="preserve"> </w:t>
      </w:r>
      <w:r>
        <w:rPr>
          <w:iCs/>
        </w:rPr>
        <w:t xml:space="preserve">Funding </w:t>
      </w:r>
      <w:r w:rsidRPr="00BD2487">
        <w:rPr>
          <w:iCs/>
        </w:rPr>
        <w:t>Guidelines</w:t>
      </w:r>
    </w:p>
    <w:p w14:paraId="398D34FD" w14:textId="77777777" w:rsidR="00367608" w:rsidRDefault="00367608" w:rsidP="00D046BE">
      <w:pPr>
        <w:pStyle w:val="Heading2"/>
        <w:sectPr w:rsidR="00367608" w:rsidSect="00367608">
          <w:headerReference w:type="default" r:id="rId12"/>
          <w:footerReference w:type="default" r:id="rId13"/>
          <w:headerReference w:type="first" r:id="rId14"/>
          <w:pgSz w:w="11906" w:h="16838" w:code="9"/>
          <w:pgMar w:top="1134" w:right="707" w:bottom="1560" w:left="709" w:header="0" w:footer="222" w:gutter="0"/>
          <w:cols w:space="708"/>
          <w:docGrid w:linePitch="360"/>
        </w:sectPr>
      </w:pPr>
    </w:p>
    <w:p w14:paraId="79368F05" w14:textId="77777777" w:rsidR="00C67F31" w:rsidRPr="00190901" w:rsidRDefault="00D74F25" w:rsidP="00D046BE">
      <w:pPr>
        <w:pStyle w:val="Heading2"/>
      </w:pPr>
      <w:r>
        <w:t>Introduction</w:t>
      </w:r>
    </w:p>
    <w:p w14:paraId="3D19AD1A" w14:textId="77777777" w:rsidR="00C67F31" w:rsidRPr="005C7A23" w:rsidRDefault="00D74F25" w:rsidP="007654FF">
      <w:pPr>
        <w:spacing w:line="240" w:lineRule="auto"/>
        <w:rPr>
          <w:szCs w:val="24"/>
          <w:lang w:val="en-AU"/>
        </w:rPr>
      </w:pPr>
      <w:r>
        <w:rPr>
          <w:szCs w:val="24"/>
        </w:rPr>
        <w:t xml:space="preserve">The 2026 Celebrating Reconciliation </w:t>
      </w:r>
      <w:r w:rsidR="00082FE2">
        <w:rPr>
          <w:szCs w:val="24"/>
        </w:rPr>
        <w:t xml:space="preserve">Grants support and showcase </w:t>
      </w:r>
      <w:r>
        <w:rPr>
          <w:szCs w:val="24"/>
        </w:rPr>
        <w:t xml:space="preserve">Queensland’s </w:t>
      </w:r>
      <w:r w:rsidRPr="005C7A23">
        <w:rPr>
          <w:szCs w:val="24"/>
          <w:lang w:val="en-AU"/>
        </w:rPr>
        <w:t>reconciliation activities</w:t>
      </w:r>
      <w:r w:rsidR="005F3888">
        <w:rPr>
          <w:szCs w:val="24"/>
          <w:lang w:val="en-AU"/>
        </w:rPr>
        <w:t xml:space="preserve">, </w:t>
      </w:r>
      <w:r w:rsidRPr="005C7A23">
        <w:rPr>
          <w:szCs w:val="24"/>
          <w:lang w:val="en-AU"/>
        </w:rPr>
        <w:t>promote understanding and social cohesion between Aboriginal and Torres Strait Islander peoples and non-Indigenous Queenslanders. </w:t>
      </w:r>
    </w:p>
    <w:p w14:paraId="1D1282B5" w14:textId="77777777" w:rsidR="00082FE2" w:rsidRDefault="00D74F25" w:rsidP="007654FF">
      <w:pPr>
        <w:spacing w:line="240" w:lineRule="auto"/>
        <w:rPr>
          <w:szCs w:val="24"/>
        </w:rPr>
      </w:pPr>
      <w:r w:rsidRPr="008D7F63">
        <w:rPr>
          <w:szCs w:val="24"/>
        </w:rPr>
        <w:t>National Reconciliation Week</w:t>
      </w:r>
      <w:r>
        <w:rPr>
          <w:szCs w:val="24"/>
        </w:rPr>
        <w:t xml:space="preserve"> is a national campaign held annually from </w:t>
      </w:r>
      <w:r w:rsidRPr="00D410A9">
        <w:rPr>
          <w:b/>
          <w:bCs/>
          <w:szCs w:val="24"/>
        </w:rPr>
        <w:t>27 May to 3 June</w:t>
      </w:r>
      <w:r w:rsidRPr="008D7F63">
        <w:rPr>
          <w:szCs w:val="24"/>
        </w:rPr>
        <w:t>, celebrating and building</w:t>
      </w:r>
      <w:r>
        <w:rPr>
          <w:szCs w:val="24"/>
        </w:rPr>
        <w:t xml:space="preserve"> </w:t>
      </w:r>
      <w:r w:rsidRPr="008D7F63">
        <w:rPr>
          <w:szCs w:val="24"/>
        </w:rPr>
        <w:t xml:space="preserve">on respectful relationships </w:t>
      </w:r>
      <w:r>
        <w:rPr>
          <w:szCs w:val="24"/>
        </w:rPr>
        <w:t>between</w:t>
      </w:r>
      <w:r w:rsidRPr="008D7F63">
        <w:rPr>
          <w:szCs w:val="24"/>
        </w:rPr>
        <w:t xml:space="preserve"> Aboriginal</w:t>
      </w:r>
      <w:r>
        <w:rPr>
          <w:szCs w:val="24"/>
        </w:rPr>
        <w:t xml:space="preserve">, </w:t>
      </w:r>
      <w:r w:rsidRPr="008D7F63">
        <w:rPr>
          <w:szCs w:val="24"/>
        </w:rPr>
        <w:t xml:space="preserve">Torres Strait Islander and </w:t>
      </w:r>
      <w:r>
        <w:rPr>
          <w:szCs w:val="24"/>
        </w:rPr>
        <w:t>non-Indigenous</w:t>
      </w:r>
      <w:r w:rsidRPr="008D7F63">
        <w:rPr>
          <w:szCs w:val="24"/>
        </w:rPr>
        <w:t xml:space="preserve"> </w:t>
      </w:r>
      <w:r>
        <w:rPr>
          <w:szCs w:val="24"/>
        </w:rPr>
        <w:t>people</w:t>
      </w:r>
      <w:r w:rsidRPr="008D7F63">
        <w:rPr>
          <w:szCs w:val="24"/>
        </w:rPr>
        <w:t>s.</w:t>
      </w:r>
      <w:r>
        <w:rPr>
          <w:szCs w:val="24"/>
        </w:rPr>
        <w:t xml:space="preserve"> </w:t>
      </w:r>
    </w:p>
    <w:p w14:paraId="6A2D1F6F" w14:textId="77777777" w:rsidR="00C67F31" w:rsidRPr="00190901" w:rsidRDefault="00D74F25" w:rsidP="007654FF">
      <w:pPr>
        <w:spacing w:line="240" w:lineRule="auto"/>
        <w:rPr>
          <w:szCs w:val="24"/>
        </w:rPr>
      </w:pPr>
      <w:r w:rsidRPr="00190901">
        <w:rPr>
          <w:szCs w:val="24"/>
        </w:rPr>
        <w:t>The</w:t>
      </w:r>
      <w:r w:rsidR="00082FE2">
        <w:rPr>
          <w:szCs w:val="24"/>
        </w:rPr>
        <w:t>se</w:t>
      </w:r>
      <w:r w:rsidRPr="00190901">
        <w:rPr>
          <w:szCs w:val="24"/>
        </w:rPr>
        <w:t xml:space="preserve"> dates commemorate two significant milestones in </w:t>
      </w:r>
      <w:r w:rsidR="00082FE2">
        <w:rPr>
          <w:szCs w:val="24"/>
        </w:rPr>
        <w:t>our</w:t>
      </w:r>
      <w:r w:rsidRPr="00190901">
        <w:rPr>
          <w:szCs w:val="24"/>
        </w:rPr>
        <w:t xml:space="preserve"> reconciliation journey</w:t>
      </w:r>
      <w:r w:rsidR="00AA2851">
        <w:rPr>
          <w:szCs w:val="24"/>
        </w:rPr>
        <w:t xml:space="preserve"> - </w:t>
      </w:r>
      <w:r w:rsidRPr="00190901">
        <w:rPr>
          <w:szCs w:val="24"/>
        </w:rPr>
        <w:t>the successful 1967 Referendum to change how Aboriginal peoples and Torres Strait Islander peoples were referred to in the Constitution (27</w:t>
      </w:r>
      <w:r>
        <w:rPr>
          <w:szCs w:val="24"/>
        </w:rPr>
        <w:t> </w:t>
      </w:r>
      <w:r w:rsidRPr="00190901">
        <w:rPr>
          <w:szCs w:val="24"/>
        </w:rPr>
        <w:t>May), and the 1992 High Court Mabo decision (3 June).</w:t>
      </w:r>
    </w:p>
    <w:p w14:paraId="601BE2AD" w14:textId="77777777" w:rsidR="00C67F31" w:rsidRDefault="00D74F25" w:rsidP="007654FF">
      <w:pPr>
        <w:spacing w:line="240" w:lineRule="auto"/>
        <w:rPr>
          <w:szCs w:val="24"/>
        </w:rPr>
      </w:pPr>
      <w:r w:rsidRPr="00190901">
        <w:rPr>
          <w:szCs w:val="24"/>
        </w:rPr>
        <w:t xml:space="preserve">The week is an opportunity for all Australians to learn about our shared histories, cultures and achievements and to explore how each of us can </w:t>
      </w:r>
      <w:r w:rsidR="009B4A4E">
        <w:rPr>
          <w:szCs w:val="24"/>
        </w:rPr>
        <w:t>walk together</w:t>
      </w:r>
      <w:r w:rsidRPr="00190901">
        <w:rPr>
          <w:szCs w:val="24"/>
        </w:rPr>
        <w:t xml:space="preserve"> </w:t>
      </w:r>
      <w:r w:rsidR="009B4A4E">
        <w:rPr>
          <w:szCs w:val="24"/>
        </w:rPr>
        <w:t>in the</w:t>
      </w:r>
      <w:r w:rsidRPr="00190901">
        <w:rPr>
          <w:szCs w:val="24"/>
        </w:rPr>
        <w:t xml:space="preserve"> national reconciliation effort. </w:t>
      </w:r>
    </w:p>
    <w:p w14:paraId="28D402A2" w14:textId="77777777" w:rsidR="00C67F31" w:rsidRPr="00190901" w:rsidRDefault="00D74F25" w:rsidP="007654FF">
      <w:pPr>
        <w:spacing w:line="240" w:lineRule="auto"/>
        <w:rPr>
          <w:szCs w:val="24"/>
        </w:rPr>
      </w:pPr>
      <w:r w:rsidRPr="004D79EE">
        <w:rPr>
          <w:szCs w:val="24"/>
        </w:rPr>
        <w:t>This document outlines the eligibility criteria, application process, funding conditions and reporting requirements for the</w:t>
      </w:r>
      <w:r>
        <w:rPr>
          <w:szCs w:val="24"/>
        </w:rPr>
        <w:t xml:space="preserve"> Celebrating Reconciliation Grant</w:t>
      </w:r>
      <w:r w:rsidR="009B4A4E">
        <w:rPr>
          <w:szCs w:val="24"/>
        </w:rPr>
        <w:t>s</w:t>
      </w:r>
      <w:r>
        <w:rPr>
          <w:szCs w:val="24"/>
        </w:rPr>
        <w:t>.</w:t>
      </w:r>
    </w:p>
    <w:p w14:paraId="6875B706" w14:textId="77777777" w:rsidR="00C67F31" w:rsidRPr="00190901" w:rsidRDefault="00D74F25" w:rsidP="00D046BE">
      <w:pPr>
        <w:pStyle w:val="Heading2"/>
      </w:pPr>
      <w:r>
        <w:t>Objectives</w:t>
      </w:r>
    </w:p>
    <w:p w14:paraId="06FB4789" w14:textId="77777777" w:rsidR="00C67F31" w:rsidRDefault="00D74F25" w:rsidP="007654FF">
      <w:pPr>
        <w:spacing w:after="120" w:line="240" w:lineRule="auto"/>
        <w:rPr>
          <w:szCs w:val="24"/>
        </w:rPr>
      </w:pPr>
      <w:r>
        <w:rPr>
          <w:szCs w:val="24"/>
        </w:rPr>
        <w:t xml:space="preserve">The objectives of the Celebrating Reconciliation Grants are to: </w:t>
      </w:r>
    </w:p>
    <w:p w14:paraId="70F40AE3" w14:textId="77777777" w:rsidR="00C67F31" w:rsidRPr="00B1572C" w:rsidRDefault="00D74F25" w:rsidP="007654FF">
      <w:pPr>
        <w:pStyle w:val="ListParagraph"/>
        <w:numPr>
          <w:ilvl w:val="0"/>
          <w:numId w:val="8"/>
        </w:numPr>
        <w:tabs>
          <w:tab w:val="clear" w:pos="2835"/>
        </w:tabs>
        <w:spacing w:line="240" w:lineRule="auto"/>
        <w:contextualSpacing/>
        <w:rPr>
          <w:lang w:val="en-AU" w:eastAsia="en-US"/>
        </w:rPr>
      </w:pPr>
      <w:r>
        <w:rPr>
          <w:lang w:val="en-AU" w:eastAsia="en-US"/>
        </w:rPr>
        <w:t>P</w:t>
      </w:r>
      <w:r w:rsidRPr="00B1572C">
        <w:rPr>
          <w:lang w:val="en-AU" w:eastAsia="en-US"/>
        </w:rPr>
        <w:t xml:space="preserve">romote </w:t>
      </w:r>
      <w:r>
        <w:rPr>
          <w:lang w:val="en-AU" w:eastAsia="en-US"/>
        </w:rPr>
        <w:t xml:space="preserve">understanding </w:t>
      </w:r>
      <w:r w:rsidR="00016767">
        <w:rPr>
          <w:lang w:val="en-AU" w:eastAsia="en-US"/>
        </w:rPr>
        <w:t>a</w:t>
      </w:r>
      <w:r>
        <w:rPr>
          <w:lang w:val="en-AU" w:eastAsia="en-US"/>
        </w:rPr>
        <w:t xml:space="preserve">nd </w:t>
      </w:r>
      <w:r w:rsidRPr="00B1572C">
        <w:rPr>
          <w:lang w:val="en-AU" w:eastAsia="en-US"/>
        </w:rPr>
        <w:t xml:space="preserve">trust between </w:t>
      </w:r>
      <w:r>
        <w:rPr>
          <w:lang w:val="en-AU" w:eastAsia="en-US"/>
        </w:rPr>
        <w:t>non-Indigenous</w:t>
      </w:r>
      <w:r w:rsidRPr="00B1572C">
        <w:rPr>
          <w:lang w:val="en-AU" w:eastAsia="en-US"/>
        </w:rPr>
        <w:t xml:space="preserve"> and Aboriginal and Torres Strait Islander peoples</w:t>
      </w:r>
      <w:r>
        <w:rPr>
          <w:lang w:val="en-AU" w:eastAsia="en-US"/>
        </w:rPr>
        <w:t xml:space="preserve"> in Queensland</w:t>
      </w:r>
    </w:p>
    <w:p w14:paraId="5D52A88A" w14:textId="77777777" w:rsidR="00C67F31" w:rsidRDefault="00D74F25" w:rsidP="007654FF">
      <w:pPr>
        <w:pStyle w:val="ListParagraph"/>
        <w:numPr>
          <w:ilvl w:val="0"/>
          <w:numId w:val="8"/>
        </w:numPr>
        <w:tabs>
          <w:tab w:val="clear" w:pos="2835"/>
        </w:tabs>
        <w:spacing w:line="240" w:lineRule="auto"/>
        <w:contextualSpacing/>
        <w:rPr>
          <w:lang w:val="en-AU" w:eastAsia="en-US"/>
        </w:rPr>
      </w:pPr>
      <w:r>
        <w:rPr>
          <w:lang w:val="en-AU" w:eastAsia="en-US"/>
        </w:rPr>
        <w:t>Strengthen respectful relationships between Aboriginal and Torres Strait and non-Indigenous Queenslanders</w:t>
      </w:r>
    </w:p>
    <w:p w14:paraId="47189C8F" w14:textId="77777777" w:rsidR="00C67F31" w:rsidRPr="00B1572C" w:rsidRDefault="00D74F25" w:rsidP="007654FF">
      <w:pPr>
        <w:pStyle w:val="ListParagraph"/>
        <w:numPr>
          <w:ilvl w:val="0"/>
          <w:numId w:val="8"/>
        </w:numPr>
        <w:tabs>
          <w:tab w:val="clear" w:pos="2835"/>
        </w:tabs>
        <w:spacing w:line="240" w:lineRule="auto"/>
        <w:contextualSpacing/>
        <w:rPr>
          <w:lang w:val="en-AU" w:eastAsia="en-US"/>
        </w:rPr>
      </w:pPr>
      <w:r>
        <w:rPr>
          <w:lang w:val="en-AU" w:eastAsia="en-US"/>
        </w:rPr>
        <w:t>P</w:t>
      </w:r>
      <w:r w:rsidRPr="00B1572C">
        <w:rPr>
          <w:lang w:val="en-AU" w:eastAsia="en-US"/>
        </w:rPr>
        <w:t xml:space="preserve">romote </w:t>
      </w:r>
      <w:r>
        <w:rPr>
          <w:lang w:val="en-AU" w:eastAsia="en-US"/>
        </w:rPr>
        <w:t>inclusion and social cohesion</w:t>
      </w:r>
    </w:p>
    <w:p w14:paraId="163AFF68" w14:textId="77777777" w:rsidR="00C67F31" w:rsidRDefault="00D74F25" w:rsidP="007654FF">
      <w:pPr>
        <w:pStyle w:val="ListParagraph"/>
        <w:numPr>
          <w:ilvl w:val="0"/>
          <w:numId w:val="8"/>
        </w:numPr>
        <w:tabs>
          <w:tab w:val="clear" w:pos="2835"/>
        </w:tabs>
        <w:spacing w:line="240" w:lineRule="auto"/>
        <w:contextualSpacing/>
        <w:rPr>
          <w:lang w:val="en-AU" w:eastAsia="en-US"/>
        </w:rPr>
      </w:pPr>
      <w:r>
        <w:rPr>
          <w:lang w:val="en-AU" w:eastAsia="en-US"/>
        </w:rPr>
        <w:t>R</w:t>
      </w:r>
      <w:r w:rsidRPr="00B1572C">
        <w:rPr>
          <w:lang w:val="en-AU" w:eastAsia="en-US"/>
        </w:rPr>
        <w:t>aise community awareness of National Reconciliation Week</w:t>
      </w:r>
    </w:p>
    <w:p w14:paraId="7064EA02" w14:textId="77777777" w:rsidR="00C67F31" w:rsidRDefault="00D74F25" w:rsidP="007654FF">
      <w:pPr>
        <w:pStyle w:val="ListParagraph"/>
        <w:numPr>
          <w:ilvl w:val="0"/>
          <w:numId w:val="8"/>
        </w:numPr>
        <w:tabs>
          <w:tab w:val="clear" w:pos="2835"/>
        </w:tabs>
        <w:spacing w:line="240" w:lineRule="auto"/>
        <w:contextualSpacing/>
        <w:rPr>
          <w:lang w:val="en-AU" w:eastAsia="en-US"/>
        </w:rPr>
      </w:pPr>
      <w:r>
        <w:rPr>
          <w:lang w:val="en-AU" w:eastAsia="en-US"/>
        </w:rPr>
        <w:t>Enable opportunities for community members to learn, share and grow,</w:t>
      </w:r>
      <w:r w:rsidR="0046493B">
        <w:rPr>
          <w:lang w:val="en-AU" w:eastAsia="en-US"/>
        </w:rPr>
        <w:t xml:space="preserve"> </w:t>
      </w:r>
      <w:r>
        <w:rPr>
          <w:lang w:val="en-AU" w:eastAsia="en-US"/>
        </w:rPr>
        <w:t>through the</w:t>
      </w:r>
      <w:r w:rsidR="0046493B">
        <w:rPr>
          <w:lang w:val="en-AU" w:eastAsia="en-US"/>
        </w:rPr>
        <w:t xml:space="preserve"> </w:t>
      </w:r>
      <w:r w:rsidRPr="00E92073">
        <w:rPr>
          <w:lang w:val="en-AU" w:eastAsia="en-US"/>
        </w:rPr>
        <w:t xml:space="preserve">showcasing </w:t>
      </w:r>
      <w:r>
        <w:rPr>
          <w:lang w:val="en-AU" w:eastAsia="en-US"/>
        </w:rPr>
        <w:t xml:space="preserve">of </w:t>
      </w:r>
      <w:r w:rsidRPr="00E92073">
        <w:rPr>
          <w:lang w:val="en-AU" w:eastAsia="en-US"/>
        </w:rPr>
        <w:t xml:space="preserve">local Aboriginal and Torres Strait Islander </w:t>
      </w:r>
      <w:r w:rsidR="0046493B">
        <w:rPr>
          <w:lang w:val="en-AU" w:eastAsia="en-US"/>
        </w:rPr>
        <w:t>stories</w:t>
      </w:r>
      <w:r>
        <w:rPr>
          <w:lang w:val="en-AU" w:eastAsia="en-US"/>
        </w:rPr>
        <w:t xml:space="preserve">, </w:t>
      </w:r>
      <w:r w:rsidRPr="00E92073">
        <w:rPr>
          <w:lang w:val="en-AU" w:eastAsia="en-US"/>
        </w:rPr>
        <w:t>art</w:t>
      </w:r>
      <w:r>
        <w:rPr>
          <w:lang w:val="en-AU" w:eastAsia="en-US"/>
        </w:rPr>
        <w:t xml:space="preserve"> and</w:t>
      </w:r>
      <w:r w:rsidRPr="00E92073">
        <w:rPr>
          <w:lang w:val="en-AU" w:eastAsia="en-US"/>
        </w:rPr>
        <w:t xml:space="preserve"> cultural activities</w:t>
      </w:r>
      <w:r w:rsidR="0046493B">
        <w:rPr>
          <w:lang w:val="en-AU" w:eastAsia="en-US"/>
        </w:rPr>
        <w:t>.</w:t>
      </w:r>
    </w:p>
    <w:p w14:paraId="6A723587" w14:textId="77777777" w:rsidR="00AD3723" w:rsidRPr="00E92073" w:rsidRDefault="00AD3723" w:rsidP="00AD3723">
      <w:pPr>
        <w:pStyle w:val="ListParagraph"/>
        <w:numPr>
          <w:ilvl w:val="0"/>
          <w:numId w:val="0"/>
        </w:numPr>
        <w:tabs>
          <w:tab w:val="clear" w:pos="2835"/>
        </w:tabs>
        <w:spacing w:line="240" w:lineRule="auto"/>
        <w:ind w:left="360"/>
        <w:contextualSpacing/>
        <w:rPr>
          <w:lang w:val="en-AU" w:eastAsia="en-US"/>
        </w:rPr>
      </w:pPr>
    </w:p>
    <w:p w14:paraId="3A7C5DFA" w14:textId="77777777" w:rsidR="00C67F31" w:rsidRPr="000A007E" w:rsidRDefault="00D74F25" w:rsidP="00D046BE">
      <w:pPr>
        <w:pStyle w:val="Heading2"/>
      </w:pPr>
      <w:r w:rsidRPr="000A007E">
        <w:t>Funding Available</w:t>
      </w:r>
    </w:p>
    <w:p w14:paraId="502E02CE" w14:textId="77777777" w:rsidR="00C67F31" w:rsidRPr="000A007E" w:rsidRDefault="00D74F25" w:rsidP="007654FF">
      <w:pPr>
        <w:pStyle w:val="ListParagraph"/>
        <w:numPr>
          <w:ilvl w:val="0"/>
          <w:numId w:val="9"/>
        </w:numPr>
        <w:tabs>
          <w:tab w:val="clear" w:pos="2835"/>
        </w:tabs>
        <w:spacing w:line="240" w:lineRule="auto"/>
        <w:contextualSpacing/>
        <w:rPr>
          <w:lang w:val="en-AU" w:eastAsia="en-US"/>
        </w:rPr>
      </w:pPr>
      <w:r>
        <w:t xml:space="preserve">Grants of up to </w:t>
      </w:r>
      <w:r w:rsidRPr="002004A5">
        <w:rPr>
          <w:b/>
          <w:bCs/>
        </w:rPr>
        <w:t>$2,500</w:t>
      </w:r>
      <w:r>
        <w:t xml:space="preserve"> (</w:t>
      </w:r>
      <w:r w:rsidR="006753FD">
        <w:t>e</w:t>
      </w:r>
      <w:r>
        <w:t>x GST) are available</w:t>
      </w:r>
      <w:r w:rsidR="0008207E">
        <w:t>.</w:t>
      </w:r>
      <w:r>
        <w:t xml:space="preserve"> </w:t>
      </w:r>
    </w:p>
    <w:p w14:paraId="102E8184" w14:textId="77777777" w:rsidR="00C67F31" w:rsidRPr="000A007E" w:rsidRDefault="00D74F25" w:rsidP="007654FF">
      <w:pPr>
        <w:pStyle w:val="ListParagraph"/>
        <w:numPr>
          <w:ilvl w:val="0"/>
          <w:numId w:val="8"/>
        </w:numPr>
        <w:tabs>
          <w:tab w:val="clear" w:pos="2835"/>
        </w:tabs>
        <w:spacing w:line="240" w:lineRule="auto"/>
        <w:contextualSpacing/>
        <w:rPr>
          <w:lang w:val="en-AU" w:eastAsia="en-US"/>
        </w:rPr>
      </w:pPr>
      <w:r>
        <w:t>Funding is provided directly to Eligible Applicants.</w:t>
      </w:r>
    </w:p>
    <w:p w14:paraId="632B4EE9" w14:textId="77777777" w:rsidR="00C67F31" w:rsidRPr="000A007E" w:rsidRDefault="00D74F25" w:rsidP="007654FF">
      <w:pPr>
        <w:pStyle w:val="ListParagraph"/>
        <w:numPr>
          <w:ilvl w:val="0"/>
          <w:numId w:val="8"/>
        </w:numPr>
        <w:tabs>
          <w:tab w:val="clear" w:pos="2835"/>
        </w:tabs>
        <w:spacing w:line="240" w:lineRule="auto"/>
        <w:contextualSpacing/>
        <w:rPr>
          <w:lang w:val="en-AU" w:eastAsia="en-US"/>
        </w:rPr>
      </w:pPr>
      <w:r w:rsidRPr="00440F65">
        <w:rPr>
          <w:b/>
          <w:bCs/>
        </w:rPr>
        <w:t>$100,000</w:t>
      </w:r>
      <w:r w:rsidRPr="00440F65">
        <w:t xml:space="preserve"> </w:t>
      </w:r>
      <w:r w:rsidR="002004A5" w:rsidRPr="00440F65">
        <w:t>(</w:t>
      </w:r>
      <w:r w:rsidR="00C23247">
        <w:t>e</w:t>
      </w:r>
      <w:r w:rsidR="002004A5">
        <w:t xml:space="preserve">x GST) </w:t>
      </w:r>
      <w:r>
        <w:t xml:space="preserve">in total is available in the 2025-26 financial year, with an appropriate </w:t>
      </w:r>
      <w:r w:rsidRPr="000A007E">
        <w:t>spread of funds expected to be committed outside of South-East Queensland including in regional and remote areas.</w:t>
      </w:r>
    </w:p>
    <w:p w14:paraId="0F7F360F" w14:textId="77777777" w:rsidR="00C67F31" w:rsidRPr="000A007E" w:rsidRDefault="00D74F25" w:rsidP="007654FF">
      <w:pPr>
        <w:pStyle w:val="ListParagraph"/>
        <w:numPr>
          <w:ilvl w:val="0"/>
          <w:numId w:val="8"/>
        </w:numPr>
        <w:tabs>
          <w:tab w:val="clear" w:pos="2835"/>
        </w:tabs>
        <w:spacing w:line="240" w:lineRule="auto"/>
        <w:contextualSpacing/>
        <w:rPr>
          <w:szCs w:val="24"/>
        </w:rPr>
      </w:pPr>
      <w:r w:rsidRPr="000A007E">
        <w:rPr>
          <w:szCs w:val="24"/>
        </w:rPr>
        <w:t xml:space="preserve">It is a requirement of the grant program that Aboriginal and/or Torres Islander </w:t>
      </w:r>
      <w:proofErr w:type="gramStart"/>
      <w:r w:rsidRPr="000A007E">
        <w:rPr>
          <w:szCs w:val="24"/>
        </w:rPr>
        <w:t>peoples</w:t>
      </w:r>
      <w:proofErr w:type="gramEnd"/>
      <w:r w:rsidRPr="000A007E">
        <w:rPr>
          <w:szCs w:val="24"/>
        </w:rPr>
        <w:t xml:space="preserve"> are included in the design and delivery of the event or activity.</w:t>
      </w:r>
    </w:p>
    <w:p w14:paraId="1E49A921" w14:textId="77777777" w:rsidR="00C67F31" w:rsidRPr="000A007E" w:rsidRDefault="00D74F25" w:rsidP="007654FF">
      <w:pPr>
        <w:pStyle w:val="ListParagraph"/>
        <w:numPr>
          <w:ilvl w:val="0"/>
          <w:numId w:val="8"/>
        </w:numPr>
        <w:tabs>
          <w:tab w:val="clear" w:pos="2835"/>
        </w:tabs>
        <w:spacing w:line="240" w:lineRule="auto"/>
        <w:contextualSpacing/>
        <w:rPr>
          <w:lang w:val="en-AU" w:eastAsia="en-US"/>
        </w:rPr>
      </w:pPr>
      <w:r w:rsidRPr="000A007E">
        <w:t xml:space="preserve">The funding period is from </w:t>
      </w:r>
      <w:r w:rsidR="001D6BE7">
        <w:t>May 2</w:t>
      </w:r>
      <w:r>
        <w:t>026</w:t>
      </w:r>
      <w:r w:rsidRPr="000A007E">
        <w:t xml:space="preserve"> to 30 June 2026, unless funds are exhausted earlier.</w:t>
      </w:r>
    </w:p>
    <w:p w14:paraId="0AEA1C00" w14:textId="77777777" w:rsidR="00C67F31" w:rsidRPr="000A007E" w:rsidRDefault="00D74F25" w:rsidP="007654FF">
      <w:pPr>
        <w:pStyle w:val="ListParagraph"/>
        <w:numPr>
          <w:ilvl w:val="0"/>
          <w:numId w:val="8"/>
        </w:numPr>
        <w:tabs>
          <w:tab w:val="clear" w:pos="2835"/>
        </w:tabs>
        <w:spacing w:line="240" w:lineRule="auto"/>
        <w:contextualSpacing/>
        <w:rPr>
          <w:lang w:val="en-AU" w:eastAsia="en-US"/>
        </w:rPr>
      </w:pPr>
      <w:r w:rsidRPr="000A007E">
        <w:rPr>
          <w:lang w:eastAsia="en-US"/>
        </w:rPr>
        <w:t xml:space="preserve">For the purposes of this program, south-east Queensland is defined by the following Local Government Areas: </w:t>
      </w:r>
    </w:p>
    <w:p w14:paraId="5240EAA4" w14:textId="77777777" w:rsidR="00C67F31" w:rsidRPr="000A007E" w:rsidRDefault="00D74F25" w:rsidP="007654FF">
      <w:pPr>
        <w:pStyle w:val="ListParagraph"/>
        <w:numPr>
          <w:ilvl w:val="1"/>
          <w:numId w:val="8"/>
        </w:numPr>
        <w:tabs>
          <w:tab w:val="clear" w:pos="2835"/>
        </w:tabs>
        <w:spacing w:line="240" w:lineRule="auto"/>
        <w:contextualSpacing/>
        <w:rPr>
          <w:lang w:val="en-AU" w:eastAsia="en-US"/>
        </w:rPr>
      </w:pPr>
      <w:r w:rsidRPr="000A007E">
        <w:rPr>
          <w:lang w:eastAsia="en-US"/>
        </w:rPr>
        <w:t xml:space="preserve">Brisbane City Council </w:t>
      </w:r>
    </w:p>
    <w:p w14:paraId="1F7669BA" w14:textId="77777777" w:rsidR="00C67F31" w:rsidRPr="000A007E" w:rsidRDefault="00D74F25" w:rsidP="007654FF">
      <w:pPr>
        <w:pStyle w:val="ListParagraph"/>
        <w:numPr>
          <w:ilvl w:val="1"/>
          <w:numId w:val="8"/>
        </w:numPr>
        <w:tabs>
          <w:tab w:val="clear" w:pos="2835"/>
        </w:tabs>
        <w:spacing w:line="240" w:lineRule="auto"/>
        <w:contextualSpacing/>
        <w:rPr>
          <w:lang w:val="en-AU" w:eastAsia="en-US"/>
        </w:rPr>
      </w:pPr>
      <w:r w:rsidRPr="000A007E">
        <w:rPr>
          <w:lang w:eastAsia="en-US"/>
        </w:rPr>
        <w:t xml:space="preserve">Gold Coast City Council </w:t>
      </w:r>
    </w:p>
    <w:p w14:paraId="1CC2B760" w14:textId="77777777" w:rsidR="00C67F31" w:rsidRPr="000A007E" w:rsidRDefault="00D74F25" w:rsidP="007654FF">
      <w:pPr>
        <w:pStyle w:val="ListParagraph"/>
        <w:numPr>
          <w:ilvl w:val="1"/>
          <w:numId w:val="8"/>
        </w:numPr>
        <w:tabs>
          <w:tab w:val="clear" w:pos="2835"/>
        </w:tabs>
        <w:spacing w:line="240" w:lineRule="auto"/>
        <w:contextualSpacing/>
        <w:rPr>
          <w:lang w:val="en-AU" w:eastAsia="en-US"/>
        </w:rPr>
      </w:pPr>
      <w:r w:rsidRPr="000A007E">
        <w:rPr>
          <w:lang w:eastAsia="en-US"/>
        </w:rPr>
        <w:t xml:space="preserve">Ipswich City Council </w:t>
      </w:r>
    </w:p>
    <w:p w14:paraId="75019731" w14:textId="77777777" w:rsidR="00C67F31" w:rsidRPr="000A007E" w:rsidRDefault="00D74F25" w:rsidP="007654FF">
      <w:pPr>
        <w:pStyle w:val="ListParagraph"/>
        <w:numPr>
          <w:ilvl w:val="1"/>
          <w:numId w:val="8"/>
        </w:numPr>
        <w:tabs>
          <w:tab w:val="clear" w:pos="2835"/>
        </w:tabs>
        <w:spacing w:line="240" w:lineRule="auto"/>
        <w:contextualSpacing/>
        <w:rPr>
          <w:lang w:val="en-AU" w:eastAsia="en-US"/>
        </w:rPr>
      </w:pPr>
      <w:r w:rsidRPr="000A007E">
        <w:rPr>
          <w:lang w:eastAsia="en-US"/>
        </w:rPr>
        <w:t xml:space="preserve">Logan City Council </w:t>
      </w:r>
    </w:p>
    <w:p w14:paraId="59123147" w14:textId="77777777" w:rsidR="00C67F31" w:rsidRPr="000A007E" w:rsidRDefault="00D74F25" w:rsidP="007654FF">
      <w:pPr>
        <w:pStyle w:val="ListParagraph"/>
        <w:numPr>
          <w:ilvl w:val="1"/>
          <w:numId w:val="8"/>
        </w:numPr>
        <w:tabs>
          <w:tab w:val="clear" w:pos="2835"/>
        </w:tabs>
        <w:spacing w:line="240" w:lineRule="auto"/>
        <w:contextualSpacing/>
        <w:rPr>
          <w:lang w:val="en-AU" w:eastAsia="en-US"/>
        </w:rPr>
      </w:pPr>
      <w:r w:rsidRPr="000A007E">
        <w:rPr>
          <w:lang w:eastAsia="en-US"/>
        </w:rPr>
        <w:t xml:space="preserve">Moreton Bay Regional Council </w:t>
      </w:r>
    </w:p>
    <w:p w14:paraId="29F96203" w14:textId="77777777" w:rsidR="00C67F31" w:rsidRPr="000A007E" w:rsidRDefault="00D74F25" w:rsidP="007654FF">
      <w:pPr>
        <w:pStyle w:val="ListParagraph"/>
        <w:numPr>
          <w:ilvl w:val="1"/>
          <w:numId w:val="8"/>
        </w:numPr>
        <w:tabs>
          <w:tab w:val="clear" w:pos="2835"/>
        </w:tabs>
        <w:spacing w:line="240" w:lineRule="auto"/>
        <w:contextualSpacing/>
        <w:rPr>
          <w:lang w:val="en-AU" w:eastAsia="en-US"/>
        </w:rPr>
      </w:pPr>
      <w:r w:rsidRPr="000A007E">
        <w:rPr>
          <w:lang w:eastAsia="en-US"/>
        </w:rPr>
        <w:t xml:space="preserve">Redland City Council </w:t>
      </w:r>
    </w:p>
    <w:p w14:paraId="5F31D22C" w14:textId="77777777" w:rsidR="00C67F31" w:rsidRPr="000A007E" w:rsidRDefault="00D74F25" w:rsidP="007654FF">
      <w:pPr>
        <w:pStyle w:val="ListParagraph"/>
        <w:numPr>
          <w:ilvl w:val="1"/>
          <w:numId w:val="8"/>
        </w:numPr>
        <w:tabs>
          <w:tab w:val="clear" w:pos="2835"/>
        </w:tabs>
        <w:spacing w:line="240" w:lineRule="auto"/>
        <w:contextualSpacing/>
        <w:rPr>
          <w:lang w:val="en-AU" w:eastAsia="en-US"/>
        </w:rPr>
      </w:pPr>
      <w:r w:rsidRPr="000A007E">
        <w:rPr>
          <w:lang w:eastAsia="en-US"/>
        </w:rPr>
        <w:t xml:space="preserve">Sunshine Coast Regional Council </w:t>
      </w:r>
    </w:p>
    <w:p w14:paraId="1558CDF5" w14:textId="77777777" w:rsidR="00C67F31" w:rsidRPr="000A007E" w:rsidRDefault="00D74F25" w:rsidP="007654FF">
      <w:pPr>
        <w:pStyle w:val="ListParagraph"/>
        <w:numPr>
          <w:ilvl w:val="1"/>
          <w:numId w:val="8"/>
        </w:numPr>
        <w:tabs>
          <w:tab w:val="clear" w:pos="2835"/>
        </w:tabs>
        <w:spacing w:line="240" w:lineRule="auto"/>
        <w:contextualSpacing/>
        <w:rPr>
          <w:lang w:val="en-AU" w:eastAsia="en-US"/>
        </w:rPr>
      </w:pPr>
      <w:r w:rsidRPr="000A007E">
        <w:rPr>
          <w:lang w:eastAsia="en-US"/>
        </w:rPr>
        <w:t xml:space="preserve">Noosa Shire Council </w:t>
      </w:r>
    </w:p>
    <w:p w14:paraId="0AE20008" w14:textId="77777777" w:rsidR="00C67F31" w:rsidRPr="00D12B14" w:rsidRDefault="00D74F25" w:rsidP="007654FF">
      <w:pPr>
        <w:pStyle w:val="ListParagraph"/>
        <w:numPr>
          <w:ilvl w:val="1"/>
          <w:numId w:val="8"/>
        </w:numPr>
        <w:tabs>
          <w:tab w:val="clear" w:pos="2835"/>
        </w:tabs>
        <w:spacing w:line="240" w:lineRule="auto"/>
        <w:contextualSpacing/>
        <w:rPr>
          <w:lang w:val="en-AU" w:eastAsia="en-US"/>
        </w:rPr>
      </w:pPr>
      <w:r w:rsidRPr="000A007E">
        <w:rPr>
          <w:lang w:eastAsia="en-US"/>
        </w:rPr>
        <w:t xml:space="preserve">Scenic Rim Regional Council </w:t>
      </w:r>
    </w:p>
    <w:p w14:paraId="1B27E616" w14:textId="77777777" w:rsidR="00834A89" w:rsidRPr="000A007E" w:rsidRDefault="00D74F25" w:rsidP="007654FF">
      <w:pPr>
        <w:pStyle w:val="ListParagraph"/>
        <w:numPr>
          <w:ilvl w:val="1"/>
          <w:numId w:val="8"/>
        </w:numPr>
        <w:tabs>
          <w:tab w:val="clear" w:pos="2835"/>
        </w:tabs>
        <w:spacing w:line="240" w:lineRule="auto"/>
        <w:contextualSpacing/>
        <w:rPr>
          <w:lang w:val="en-AU" w:eastAsia="en-US"/>
        </w:rPr>
      </w:pPr>
      <w:r>
        <w:rPr>
          <w:lang w:eastAsia="en-US"/>
        </w:rPr>
        <w:t>Toowoomba Regional Council</w:t>
      </w:r>
    </w:p>
    <w:p w14:paraId="64B28FCA" w14:textId="77777777" w:rsidR="00C67F31" w:rsidRPr="000A007E" w:rsidRDefault="00D74F25" w:rsidP="007654FF">
      <w:pPr>
        <w:pStyle w:val="ListParagraph"/>
        <w:numPr>
          <w:ilvl w:val="1"/>
          <w:numId w:val="8"/>
        </w:numPr>
        <w:tabs>
          <w:tab w:val="clear" w:pos="2835"/>
        </w:tabs>
        <w:spacing w:line="240" w:lineRule="auto"/>
        <w:contextualSpacing/>
        <w:rPr>
          <w:lang w:val="en-AU" w:eastAsia="en-US"/>
        </w:rPr>
      </w:pPr>
      <w:r w:rsidRPr="000A007E">
        <w:rPr>
          <w:lang w:eastAsia="en-US"/>
        </w:rPr>
        <w:t xml:space="preserve">Lockyer Valley Regional Council </w:t>
      </w:r>
    </w:p>
    <w:p w14:paraId="31432242" w14:textId="77777777" w:rsidR="00C67F31" w:rsidRPr="00D410A9" w:rsidRDefault="00D74F25" w:rsidP="007654FF">
      <w:pPr>
        <w:pStyle w:val="ListParagraph"/>
        <w:numPr>
          <w:ilvl w:val="1"/>
          <w:numId w:val="8"/>
        </w:numPr>
        <w:tabs>
          <w:tab w:val="clear" w:pos="2835"/>
        </w:tabs>
        <w:spacing w:line="240" w:lineRule="auto"/>
        <w:contextualSpacing/>
        <w:rPr>
          <w:lang w:val="en-AU" w:eastAsia="en-US"/>
        </w:rPr>
      </w:pPr>
      <w:r w:rsidRPr="000A007E">
        <w:rPr>
          <w:lang w:eastAsia="en-US"/>
        </w:rPr>
        <w:t>Somerset Regional Council</w:t>
      </w:r>
    </w:p>
    <w:p w14:paraId="77860AB3" w14:textId="77777777" w:rsidR="00C67F31" w:rsidRPr="00C00D5E" w:rsidRDefault="00D74F25" w:rsidP="00D046BE">
      <w:pPr>
        <w:pStyle w:val="Heading2"/>
      </w:pPr>
      <w:r w:rsidRPr="00C00D5E">
        <w:t>Types of eligible events and activities</w:t>
      </w:r>
    </w:p>
    <w:p w14:paraId="6C55753A" w14:textId="77777777" w:rsidR="00C67F31" w:rsidRPr="00C00D5E" w:rsidRDefault="00D74F25" w:rsidP="007654FF">
      <w:pPr>
        <w:pStyle w:val="ListBullet"/>
        <w:numPr>
          <w:ilvl w:val="0"/>
          <w:numId w:val="0"/>
        </w:numPr>
        <w:spacing w:line="240" w:lineRule="auto"/>
      </w:pPr>
      <w:r w:rsidRPr="00C00D5E">
        <w:t xml:space="preserve">The </w:t>
      </w:r>
      <w:proofErr w:type="gramStart"/>
      <w:r w:rsidRPr="00C00D5E">
        <w:t>below list</w:t>
      </w:r>
      <w:proofErr w:type="gramEnd"/>
      <w:r w:rsidRPr="00C00D5E">
        <w:t xml:space="preserve"> provides examples of eligible events. It is not exhaustive, and you are welcome to submit a proposal for a different type of event or activity that meets the objectives of the grant funding.</w:t>
      </w:r>
    </w:p>
    <w:p w14:paraId="257F2A2F"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Cultural displays that promote an understanding of, and respect for, Aboriginal or Torres Strait Islander traditions, customs, histories, and cultural heritage</w:t>
      </w:r>
      <w:r w:rsidR="0046493B">
        <w:rPr>
          <w:lang w:val="en-AU" w:eastAsia="en-US"/>
        </w:rPr>
        <w:t>.</w:t>
      </w:r>
    </w:p>
    <w:p w14:paraId="1A820725"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Celebrations showcasing local Aboriginal or Torres Strait Islander artworks, dance groups, musicians, singers, and entertainers</w:t>
      </w:r>
      <w:r w:rsidR="0046493B">
        <w:rPr>
          <w:lang w:val="en-AU" w:eastAsia="en-US"/>
        </w:rPr>
        <w:t>.</w:t>
      </w:r>
    </w:p>
    <w:p w14:paraId="0958E784"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Resources or materials (such as booklets, posters, videos, websites or podcasts) that acknowledge and raise awareness of Aboriginal and Torres Strait Islander people’s cultures.</w:t>
      </w:r>
    </w:p>
    <w:p w14:paraId="32B67AF6"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lastRenderedPageBreak/>
        <w:t>Recreational activities in public spaces and parks that promote reconciliation between local Aboriginal, Torres Strait Islander and non-Indigenous community members</w:t>
      </w:r>
      <w:r w:rsidR="0046493B">
        <w:rPr>
          <w:lang w:val="en-AU" w:eastAsia="en-US"/>
        </w:rPr>
        <w:t>.</w:t>
      </w:r>
    </w:p>
    <w:p w14:paraId="1D97F833"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Community-based and community-driven initiatives such as yarning circles or speaking events that foster conversations about reconciliation, racism, discrimination, and related issues, and provide a harmonious, creative and collaborative way of communicating in a relaxed and safe environment.</w:t>
      </w:r>
    </w:p>
    <w:p w14:paraId="6A198548"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Food displays and stalls demonstrating the preparation and cooking of traditional foods and bush tucker</w:t>
      </w:r>
      <w:r w:rsidR="0046493B">
        <w:rPr>
          <w:lang w:val="en-AU" w:eastAsia="en-US"/>
        </w:rPr>
        <w:t>.</w:t>
      </w:r>
    </w:p>
    <w:p w14:paraId="701B034E" w14:textId="77777777" w:rsidR="00C67F31" w:rsidRPr="00C00D5E" w:rsidRDefault="00D74F25" w:rsidP="007654FF">
      <w:pPr>
        <w:spacing w:line="240" w:lineRule="auto"/>
        <w:rPr>
          <w:i/>
          <w:iCs/>
          <w:lang w:val="en-AU" w:eastAsia="en-US"/>
        </w:rPr>
      </w:pPr>
      <w:r w:rsidRPr="00C00D5E">
        <w:rPr>
          <w:b/>
          <w:bCs/>
          <w:i/>
          <w:iCs/>
          <w:lang w:val="en-AU" w:eastAsia="en-US"/>
        </w:rPr>
        <w:t>Note:</w:t>
      </w:r>
      <w:r w:rsidRPr="00C00D5E">
        <w:rPr>
          <w:i/>
          <w:iCs/>
          <w:lang w:val="en-AU" w:eastAsia="en-US"/>
        </w:rPr>
        <w:t xml:space="preserve"> Events that are contentious, traumatic and/or triggering for Aboriginal and Torres Islander peoples </w:t>
      </w:r>
      <w:r>
        <w:rPr>
          <w:i/>
          <w:iCs/>
          <w:lang w:val="en-AU" w:eastAsia="en-US"/>
        </w:rPr>
        <w:t>are not recommended</w:t>
      </w:r>
      <w:r w:rsidRPr="00C00D5E">
        <w:rPr>
          <w:i/>
          <w:iCs/>
          <w:lang w:val="en-AU" w:eastAsia="en-US"/>
        </w:rPr>
        <w:t>.</w:t>
      </w:r>
    </w:p>
    <w:p w14:paraId="575AB39B" w14:textId="77777777" w:rsidR="00C67F31" w:rsidRPr="00C00D5E" w:rsidRDefault="00D74F25" w:rsidP="007654FF">
      <w:pPr>
        <w:spacing w:line="240" w:lineRule="auto"/>
        <w:rPr>
          <w:szCs w:val="24"/>
        </w:rPr>
      </w:pPr>
      <w:r w:rsidRPr="00C00D5E">
        <w:rPr>
          <w:szCs w:val="24"/>
        </w:rPr>
        <w:t>The health and wellbeing of our Aboriginal and Torres Strait Islander community</w:t>
      </w:r>
      <w:r w:rsidR="00151888">
        <w:rPr>
          <w:szCs w:val="24"/>
        </w:rPr>
        <w:t xml:space="preserve"> </w:t>
      </w:r>
      <w:r w:rsidRPr="00C00D5E">
        <w:rPr>
          <w:szCs w:val="24"/>
        </w:rPr>
        <w:t>is a priority. Applicants should carefully consider whether events and activities can be safely delivered. Where relevant, successful events and activities will need to comply with the public health requirements.</w:t>
      </w:r>
    </w:p>
    <w:p w14:paraId="4DA92D48" w14:textId="77777777" w:rsidR="00C67F31" w:rsidRPr="00C00D5E" w:rsidRDefault="00D74F25" w:rsidP="007654FF">
      <w:pPr>
        <w:spacing w:line="240" w:lineRule="auto"/>
        <w:rPr>
          <w:szCs w:val="24"/>
        </w:rPr>
      </w:pPr>
      <w:r w:rsidRPr="00C00D5E">
        <w:rPr>
          <w:szCs w:val="24"/>
        </w:rPr>
        <w:t xml:space="preserve">A range of resources to support communities during National Reconciliation Week are available on Reconciliation Australia’s website at </w:t>
      </w:r>
      <w:hyperlink r:id="rId15" w:history="1">
        <w:r w:rsidRPr="00C00D5E">
          <w:rPr>
            <w:rStyle w:val="Hyperlink"/>
            <w:rFonts w:eastAsiaTheme="majorEastAsia"/>
          </w:rPr>
          <w:t>www.reconciliation.org.au</w:t>
        </w:r>
      </w:hyperlink>
      <w:r w:rsidRPr="00C00D5E">
        <w:t>.</w:t>
      </w:r>
    </w:p>
    <w:p w14:paraId="6E3AF32D" w14:textId="77777777" w:rsidR="00C67F31" w:rsidRPr="00C00D5E" w:rsidRDefault="00D74F25" w:rsidP="00D046BE">
      <w:pPr>
        <w:pStyle w:val="Heading2"/>
      </w:pPr>
      <w:r w:rsidRPr="00C00D5E">
        <w:t>Who can apply?</w:t>
      </w:r>
    </w:p>
    <w:p w14:paraId="66900540" w14:textId="77777777" w:rsidR="00C67F31" w:rsidRPr="00C00D5E" w:rsidRDefault="00D74F25" w:rsidP="007654FF">
      <w:pPr>
        <w:spacing w:after="120" w:line="240" w:lineRule="auto"/>
      </w:pPr>
      <w:r w:rsidRPr="00C00D5E">
        <w:t xml:space="preserve">Applicants wishing to apply for a Celebrating Reconciliation </w:t>
      </w:r>
      <w:r>
        <w:t xml:space="preserve">2026 </w:t>
      </w:r>
      <w:r w:rsidRPr="00C00D5E">
        <w:t>Grant must:</w:t>
      </w:r>
    </w:p>
    <w:p w14:paraId="3E26447D"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be based in Queensland and the event must be delivered in Queensland</w:t>
      </w:r>
      <w:r w:rsidR="0046493B">
        <w:rPr>
          <w:lang w:val="en-AU" w:eastAsia="en-US"/>
        </w:rPr>
        <w:t>,</w:t>
      </w:r>
    </w:p>
    <w:p w14:paraId="5D1E39E3" w14:textId="77777777" w:rsidR="00C67F31"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have a valid Australian Business Number (ABN)</w:t>
      </w:r>
      <w:r w:rsidR="0046493B">
        <w:rPr>
          <w:lang w:val="en-AU" w:eastAsia="en-US"/>
        </w:rPr>
        <w:t>,</w:t>
      </w:r>
    </w:p>
    <w:p w14:paraId="6B9FA86E"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Pr>
          <w:lang w:val="en-AU" w:eastAsia="en-US"/>
        </w:rPr>
        <w:t>if your event or activity involves children or young people you will need to comply with the requirements of the working with children check. See below Working with Children check requirements section.</w:t>
      </w:r>
    </w:p>
    <w:p w14:paraId="670D8489" w14:textId="77777777" w:rsidR="00C67F31" w:rsidRPr="00C00D5E" w:rsidRDefault="00D74F25" w:rsidP="007654FF">
      <w:pPr>
        <w:spacing w:after="120" w:line="240" w:lineRule="auto"/>
      </w:pPr>
      <w:r w:rsidRPr="00C00D5E">
        <w:t>Eligible applicants include:</w:t>
      </w:r>
    </w:p>
    <w:p w14:paraId="0CA27049"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a company incorporated in Australia</w:t>
      </w:r>
    </w:p>
    <w:p w14:paraId="4EBA654E"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a company limited by guarantee</w:t>
      </w:r>
      <w:r>
        <w:rPr>
          <w:vertAlign w:val="superscript"/>
        </w:rPr>
        <w:footnoteReference w:id="1"/>
      </w:r>
    </w:p>
    <w:p w14:paraId="5FCD316F"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an incorporated trustee on behalf of a trust</w:t>
      </w:r>
    </w:p>
    <w:p w14:paraId="5DEE4FD5"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 xml:space="preserve">an incorporated association </w:t>
      </w:r>
    </w:p>
    <w:p w14:paraId="1A79766C"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 xml:space="preserve">a registered charity or not-for-profit organisation </w:t>
      </w:r>
    </w:p>
    <w:p w14:paraId="40C0D11F" w14:textId="77777777" w:rsidR="00082FE2" w:rsidRDefault="00D74F25" w:rsidP="00D046BE">
      <w:pPr>
        <w:pStyle w:val="ListParagraph"/>
        <w:numPr>
          <w:ilvl w:val="0"/>
          <w:numId w:val="8"/>
        </w:numPr>
        <w:tabs>
          <w:tab w:val="clear" w:pos="2835"/>
        </w:tabs>
        <w:spacing w:line="240" w:lineRule="auto"/>
        <w:contextualSpacing/>
        <w:rPr>
          <w:lang w:val="en-AU" w:eastAsia="en-US"/>
        </w:rPr>
      </w:pPr>
      <w:r w:rsidRPr="00C00D5E">
        <w:rPr>
          <w:lang w:val="en-AU" w:eastAsia="en-US"/>
        </w:rPr>
        <w:t>a local government body</w:t>
      </w:r>
    </w:p>
    <w:p w14:paraId="40235B78" w14:textId="77777777" w:rsidR="00C67F31" w:rsidRPr="00082FE2" w:rsidRDefault="00D74F25" w:rsidP="00082FE2">
      <w:pPr>
        <w:spacing w:line="240" w:lineRule="auto"/>
        <w:contextualSpacing/>
        <w:rPr>
          <w:lang w:val="en-AU" w:eastAsia="en-US"/>
        </w:rPr>
      </w:pPr>
      <w:r>
        <w:t>Applicants n</w:t>
      </w:r>
      <w:r w:rsidRPr="00C00D5E">
        <w:t>ot eligible to apply</w:t>
      </w:r>
      <w:r>
        <w:t xml:space="preserve">: </w:t>
      </w:r>
    </w:p>
    <w:p w14:paraId="2778CFD4"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a Queensland government department, agency and statutory authority</w:t>
      </w:r>
    </w:p>
    <w:p w14:paraId="60C9CB8F"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an Australian government department, agency and statutory authority</w:t>
      </w:r>
    </w:p>
    <w:p w14:paraId="38931B18"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 xml:space="preserve">a Member of Parliament </w:t>
      </w:r>
    </w:p>
    <w:p w14:paraId="7E834201"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an individual</w:t>
      </w:r>
    </w:p>
    <w:p w14:paraId="0C881BD9"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 xml:space="preserve">an unincorporated association </w:t>
      </w:r>
    </w:p>
    <w:p w14:paraId="5CA1147E"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 xml:space="preserve">an organisation not delivering services in Queensland </w:t>
      </w:r>
    </w:p>
    <w:p w14:paraId="2A9C1C9D"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 xml:space="preserve">applicants without a valid ABN </w:t>
      </w:r>
    </w:p>
    <w:p w14:paraId="420269A8"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public or private schools (including school parent associations), kindergartens, childcare centres and</w:t>
      </w:r>
      <w:r w:rsidR="00831A2A">
        <w:rPr>
          <w:lang w:val="en-AU" w:eastAsia="en-US"/>
        </w:rPr>
        <w:t xml:space="preserve"> </w:t>
      </w:r>
      <w:r w:rsidRPr="00C00D5E">
        <w:rPr>
          <w:lang w:val="en-AU" w:eastAsia="en-US"/>
        </w:rPr>
        <w:t>pre-schools</w:t>
      </w:r>
    </w:p>
    <w:p w14:paraId="719C3BD4"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Pr>
          <w:lang w:val="en-AU" w:eastAsia="en-US"/>
        </w:rPr>
        <w:t xml:space="preserve">previous applicants with </w:t>
      </w:r>
      <w:r w:rsidRPr="00C00D5E">
        <w:rPr>
          <w:lang w:val="en-AU" w:eastAsia="en-US"/>
        </w:rPr>
        <w:t xml:space="preserve">an outstanding acquittal </w:t>
      </w:r>
    </w:p>
    <w:p w14:paraId="11B02024" w14:textId="77777777" w:rsidR="00C67F31" w:rsidRPr="004D79EE" w:rsidRDefault="00D74F25" w:rsidP="00AD3723">
      <w:pPr>
        <w:pStyle w:val="Heading2"/>
      </w:pPr>
      <w:r w:rsidRPr="004D79EE">
        <w:t>Eligible grant funding expenses</w:t>
      </w:r>
    </w:p>
    <w:p w14:paraId="2CCDBCC0" w14:textId="77777777" w:rsidR="00C67F31" w:rsidRPr="004D79EE" w:rsidRDefault="00D74F25" w:rsidP="007654FF">
      <w:pPr>
        <w:pStyle w:val="ListParagraph"/>
        <w:numPr>
          <w:ilvl w:val="0"/>
          <w:numId w:val="11"/>
        </w:numPr>
        <w:tabs>
          <w:tab w:val="clear" w:pos="2835"/>
        </w:tabs>
        <w:spacing w:after="120" w:line="240" w:lineRule="auto"/>
        <w:contextualSpacing/>
        <w:rPr>
          <w:lang w:val="en-AU" w:eastAsia="en-US"/>
        </w:rPr>
      </w:pPr>
      <w:r w:rsidRPr="004D79EE">
        <w:rPr>
          <w:lang w:val="en-AU" w:eastAsia="en-US"/>
        </w:rPr>
        <w:t>equipment and venue hire</w:t>
      </w:r>
    </w:p>
    <w:p w14:paraId="6BCEEA03"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Pr>
          <w:lang w:val="en-AU" w:eastAsia="en-US"/>
        </w:rPr>
        <w:t xml:space="preserve">materials contributing to </w:t>
      </w:r>
      <w:r w:rsidRPr="00C00D5E">
        <w:rPr>
          <w:lang w:val="en-AU" w:eastAsia="en-US"/>
        </w:rPr>
        <w:t>theming</w:t>
      </w:r>
    </w:p>
    <w:p w14:paraId="7BF4743D"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Pr>
          <w:lang w:val="en-AU" w:eastAsia="en-US"/>
        </w:rPr>
        <w:t xml:space="preserve">consumable </w:t>
      </w:r>
      <w:r w:rsidRPr="00C00D5E">
        <w:rPr>
          <w:lang w:val="en-AU" w:eastAsia="en-US"/>
        </w:rPr>
        <w:t>materials and supplies</w:t>
      </w:r>
    </w:p>
    <w:p w14:paraId="6C1C51CD"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talent and entertainment</w:t>
      </w:r>
    </w:p>
    <w:p w14:paraId="157B193D"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catering and produce</w:t>
      </w:r>
      <w:r w:rsidR="00082FE2">
        <w:rPr>
          <w:lang w:val="en-AU" w:eastAsia="en-US"/>
        </w:rPr>
        <w:t>.</w:t>
      </w:r>
    </w:p>
    <w:p w14:paraId="2E840510" w14:textId="77777777" w:rsidR="00C67F31" w:rsidRPr="004D79EE" w:rsidRDefault="00D74F25" w:rsidP="00D046BE">
      <w:pPr>
        <w:pStyle w:val="Heading2"/>
      </w:pPr>
      <w:r w:rsidRPr="004D79EE">
        <w:t>Ineligible grant funding expenses</w:t>
      </w:r>
    </w:p>
    <w:p w14:paraId="19C310BB" w14:textId="77777777" w:rsidR="00C67F31" w:rsidRPr="004D79EE" w:rsidRDefault="00D74F25" w:rsidP="007654FF">
      <w:pPr>
        <w:pStyle w:val="ListParagraph"/>
        <w:numPr>
          <w:ilvl w:val="0"/>
          <w:numId w:val="10"/>
        </w:numPr>
        <w:tabs>
          <w:tab w:val="clear" w:pos="2835"/>
        </w:tabs>
        <w:spacing w:after="120" w:line="240" w:lineRule="auto"/>
        <w:contextualSpacing/>
        <w:rPr>
          <w:lang w:val="en-AU" w:eastAsia="en-US"/>
        </w:rPr>
      </w:pPr>
      <w:r w:rsidRPr="004D79EE">
        <w:rPr>
          <w:lang w:val="en-AU" w:eastAsia="en-US"/>
        </w:rPr>
        <w:t>salary and wages</w:t>
      </w:r>
    </w:p>
    <w:p w14:paraId="6B658835"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administration and overhead costs</w:t>
      </w:r>
    </w:p>
    <w:p w14:paraId="312754E3"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bookmarkStart w:id="0" w:name="_Hlk213754908"/>
      <w:r w:rsidRPr="00C00D5E">
        <w:rPr>
          <w:lang w:val="en-AU" w:eastAsia="en-US"/>
        </w:rPr>
        <w:t>activities that form part of the organisations core business or are considered routine operations of the applicant</w:t>
      </w:r>
    </w:p>
    <w:bookmarkEnd w:id="0"/>
    <w:p w14:paraId="4CF05737"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funding of research, trials, or feasibility studies</w:t>
      </w:r>
    </w:p>
    <w:p w14:paraId="3B4EAF26"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insurances</w:t>
      </w:r>
    </w:p>
    <w:p w14:paraId="54A21A4C"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prizes or gifts</w:t>
      </w:r>
    </w:p>
    <w:p w14:paraId="69D7B91D"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alcoholic beverages</w:t>
      </w:r>
    </w:p>
    <w:p w14:paraId="13E56FC5"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retrospective (past) activities</w:t>
      </w:r>
    </w:p>
    <w:p w14:paraId="63FD910F"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capital equipment or works</w:t>
      </w:r>
    </w:p>
    <w:p w14:paraId="11B2EB02" w14:textId="77777777" w:rsidR="00C67F31"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activities or goods not directly related to the event (including auspice fees)</w:t>
      </w:r>
      <w:r w:rsidR="009D6711">
        <w:rPr>
          <w:lang w:val="en-AU" w:eastAsia="en-US"/>
        </w:rPr>
        <w:t>.</w:t>
      </w:r>
    </w:p>
    <w:p w14:paraId="17EE5730" w14:textId="77777777" w:rsidR="00C776DA" w:rsidRDefault="00C776DA" w:rsidP="00C776DA">
      <w:pPr>
        <w:pStyle w:val="ListParagraph"/>
        <w:numPr>
          <w:ilvl w:val="0"/>
          <w:numId w:val="0"/>
        </w:numPr>
        <w:tabs>
          <w:tab w:val="clear" w:pos="2835"/>
        </w:tabs>
        <w:spacing w:line="240" w:lineRule="auto"/>
        <w:ind w:left="360"/>
        <w:contextualSpacing/>
        <w:rPr>
          <w:lang w:val="en-AU" w:eastAsia="en-US"/>
        </w:rPr>
      </w:pPr>
    </w:p>
    <w:p w14:paraId="2D938D67" w14:textId="77777777" w:rsidR="00C776DA" w:rsidRDefault="00C776DA" w:rsidP="00C776DA">
      <w:pPr>
        <w:pStyle w:val="ListParagraph"/>
        <w:numPr>
          <w:ilvl w:val="0"/>
          <w:numId w:val="0"/>
        </w:numPr>
        <w:tabs>
          <w:tab w:val="clear" w:pos="2835"/>
        </w:tabs>
        <w:spacing w:line="240" w:lineRule="auto"/>
        <w:ind w:left="360"/>
        <w:contextualSpacing/>
        <w:rPr>
          <w:lang w:val="en-AU" w:eastAsia="en-US"/>
        </w:rPr>
      </w:pPr>
    </w:p>
    <w:p w14:paraId="10A46E67" w14:textId="77777777" w:rsidR="00C776DA" w:rsidRDefault="00C776DA" w:rsidP="00C776DA">
      <w:pPr>
        <w:pStyle w:val="ListParagraph"/>
        <w:numPr>
          <w:ilvl w:val="0"/>
          <w:numId w:val="0"/>
        </w:numPr>
        <w:tabs>
          <w:tab w:val="clear" w:pos="2835"/>
        </w:tabs>
        <w:spacing w:line="240" w:lineRule="auto"/>
        <w:ind w:left="360"/>
        <w:contextualSpacing/>
        <w:rPr>
          <w:lang w:val="en-AU" w:eastAsia="en-US"/>
        </w:rPr>
      </w:pPr>
    </w:p>
    <w:p w14:paraId="0F2C31EC" w14:textId="77777777" w:rsidR="00C776DA" w:rsidRPr="00C00D5E" w:rsidRDefault="00C776DA" w:rsidP="00D331A4">
      <w:pPr>
        <w:pStyle w:val="ListParagraph"/>
        <w:numPr>
          <w:ilvl w:val="0"/>
          <w:numId w:val="0"/>
        </w:numPr>
        <w:tabs>
          <w:tab w:val="clear" w:pos="2835"/>
        </w:tabs>
        <w:spacing w:line="240" w:lineRule="auto"/>
        <w:ind w:left="360"/>
        <w:contextualSpacing/>
        <w:rPr>
          <w:lang w:val="en-AU" w:eastAsia="en-US"/>
        </w:rPr>
      </w:pPr>
    </w:p>
    <w:p w14:paraId="2D83EFAB" w14:textId="77777777" w:rsidR="00151888" w:rsidRPr="00C00D5E" w:rsidRDefault="00D74F25" w:rsidP="00151888">
      <w:pPr>
        <w:pStyle w:val="Heading2"/>
      </w:pPr>
      <w:r w:rsidRPr="007040FD">
        <w:lastRenderedPageBreak/>
        <w:t>Disclaimer</w:t>
      </w:r>
    </w:p>
    <w:p w14:paraId="398E5128" w14:textId="77777777" w:rsidR="00151888" w:rsidRDefault="00D74F25" w:rsidP="00151888">
      <w:pPr>
        <w:spacing w:after="0" w:line="240" w:lineRule="auto"/>
      </w:pPr>
      <w:r w:rsidRPr="007040FD">
        <w:t>The Queensland Government reserves the right to amend these guidelines or cancel the program at any time without notice. Submission of an application does not guarantee funding</w:t>
      </w:r>
      <w:r>
        <w:t>.</w:t>
      </w:r>
    </w:p>
    <w:p w14:paraId="23CC43CC" w14:textId="77777777" w:rsidR="00C67F31" w:rsidRPr="00C00D5E" w:rsidRDefault="00D74F25" w:rsidP="00D046BE">
      <w:pPr>
        <w:pStyle w:val="Heading2"/>
      </w:pPr>
      <w:r w:rsidRPr="004D79EE">
        <w:rPr>
          <w:lang w:eastAsia="en-US"/>
        </w:rPr>
        <w:t>Application Process</w:t>
      </w:r>
      <w:r w:rsidRPr="00C00D5E">
        <w:t xml:space="preserve"> </w:t>
      </w:r>
    </w:p>
    <w:p w14:paraId="6E51C1E6" w14:textId="77777777" w:rsidR="00C67F31" w:rsidRDefault="00D74F25" w:rsidP="007654FF">
      <w:pPr>
        <w:spacing w:after="0" w:line="240" w:lineRule="auto"/>
        <w:rPr>
          <w:lang w:eastAsia="en-US"/>
        </w:rPr>
      </w:pPr>
      <w:r w:rsidRPr="00B93868">
        <w:rPr>
          <w:b/>
          <w:bCs/>
          <w:lang w:eastAsia="en-US"/>
        </w:rPr>
        <w:t>Step 1: Review Guidelines</w:t>
      </w:r>
      <w:r w:rsidRPr="004D79EE">
        <w:rPr>
          <w:lang w:eastAsia="en-US"/>
        </w:rPr>
        <w:t xml:space="preserve"> </w:t>
      </w:r>
    </w:p>
    <w:p w14:paraId="518877C2" w14:textId="77777777" w:rsidR="00C67F31" w:rsidRDefault="00D74F25" w:rsidP="007654FF">
      <w:pPr>
        <w:spacing w:after="0" w:line="240" w:lineRule="auto"/>
        <w:rPr>
          <w:lang w:eastAsia="en-US"/>
        </w:rPr>
      </w:pPr>
      <w:r w:rsidRPr="004D79EE">
        <w:rPr>
          <w:lang w:eastAsia="en-US"/>
        </w:rPr>
        <w:t xml:space="preserve">Applicants must carefully review these guidelines to ensure they meet the eligibility criteria. </w:t>
      </w:r>
    </w:p>
    <w:p w14:paraId="7B673A32" w14:textId="77777777" w:rsidR="00C67F31" w:rsidRPr="00B93868" w:rsidRDefault="00D74F25" w:rsidP="007654FF">
      <w:pPr>
        <w:spacing w:before="240" w:after="0" w:line="240" w:lineRule="auto"/>
        <w:rPr>
          <w:b/>
          <w:bCs/>
        </w:rPr>
      </w:pPr>
      <w:r w:rsidRPr="00B93868">
        <w:rPr>
          <w:b/>
          <w:bCs/>
        </w:rPr>
        <w:t>Step 2: Working with Children Check requirement</w:t>
      </w:r>
    </w:p>
    <w:p w14:paraId="42307F82" w14:textId="77777777" w:rsidR="00C67F31" w:rsidRPr="00C00D5E" w:rsidRDefault="00D74F25" w:rsidP="007654FF">
      <w:pPr>
        <w:spacing w:line="240" w:lineRule="auto"/>
        <w:rPr>
          <w:bCs/>
          <w:iCs/>
          <w:color w:val="0CC0DD"/>
          <w:sz w:val="30"/>
          <w:szCs w:val="30"/>
          <w:lang w:val="en-AU" w:eastAsia="en-US"/>
        </w:rPr>
      </w:pPr>
      <w:r w:rsidRPr="00C00D5E">
        <w:t xml:space="preserve">Applicants </w:t>
      </w:r>
      <w:r>
        <w:t>may r</w:t>
      </w:r>
      <w:r w:rsidRPr="00C00D5E">
        <w:t>equire</w:t>
      </w:r>
      <w:r>
        <w:t xml:space="preserve"> volunteers or staff to hold a </w:t>
      </w:r>
      <w:r w:rsidRPr="00C00D5E">
        <w:t xml:space="preserve">‘Working with Children Check’ </w:t>
      </w:r>
      <w:r>
        <w:t xml:space="preserve">blue card </w:t>
      </w:r>
      <w:r w:rsidRPr="00C00D5E">
        <w:t>for events that include children or young people.</w:t>
      </w:r>
      <w:r>
        <w:t xml:space="preserve"> </w:t>
      </w:r>
      <w:r w:rsidRPr="00C00D5E">
        <w:t xml:space="preserve">To ensure you meet the requirements for the ‘Working with Children Check’, please visit </w:t>
      </w:r>
      <w:hyperlink r:id="rId16" w:history="1">
        <w:r w:rsidRPr="00C00D5E">
          <w:rPr>
            <w:rStyle w:val="Hyperlink"/>
            <w:rFonts w:eastAsiaTheme="majorEastAsia"/>
          </w:rPr>
          <w:t>https://www.bluecard.qld.gov.au/bluecardprocess.html</w:t>
        </w:r>
      </w:hyperlink>
      <w:r w:rsidRPr="00C00D5E">
        <w:t xml:space="preserve">. </w:t>
      </w:r>
    </w:p>
    <w:p w14:paraId="59987511" w14:textId="77777777" w:rsidR="00C67F31" w:rsidRPr="00AB1ACF" w:rsidRDefault="00D74F25" w:rsidP="007654FF">
      <w:pPr>
        <w:spacing w:after="0" w:line="240" w:lineRule="auto"/>
        <w:rPr>
          <w:b/>
          <w:bCs/>
        </w:rPr>
      </w:pPr>
      <w:r w:rsidRPr="00AB1ACF">
        <w:rPr>
          <w:b/>
          <w:bCs/>
        </w:rPr>
        <w:t xml:space="preserve">Step 3: </w:t>
      </w:r>
      <w:proofErr w:type="gramStart"/>
      <w:r w:rsidRPr="00AB1ACF">
        <w:rPr>
          <w:b/>
          <w:bCs/>
        </w:rPr>
        <w:t>Submit an application</w:t>
      </w:r>
      <w:proofErr w:type="gramEnd"/>
      <w:r w:rsidRPr="00AB1ACF">
        <w:rPr>
          <w:b/>
          <w:bCs/>
        </w:rPr>
        <w:t xml:space="preserve"> </w:t>
      </w:r>
    </w:p>
    <w:p w14:paraId="48CFFB05" w14:textId="77777777" w:rsidR="00C67F31" w:rsidRPr="00440F65" w:rsidRDefault="00D74F25" w:rsidP="007654FF">
      <w:pPr>
        <w:spacing w:after="120" w:line="240" w:lineRule="auto"/>
        <w:jc w:val="both"/>
        <w:rPr>
          <w:bCs/>
          <w:szCs w:val="24"/>
        </w:rPr>
      </w:pPr>
      <w:r w:rsidRPr="00AB1ACF">
        <w:rPr>
          <w:b/>
          <w:szCs w:val="24"/>
        </w:rPr>
        <w:t xml:space="preserve">Applications close at 8:00am </w:t>
      </w:r>
      <w:r w:rsidR="00C776DA">
        <w:rPr>
          <w:b/>
          <w:szCs w:val="24"/>
        </w:rPr>
        <w:t>(</w:t>
      </w:r>
      <w:r w:rsidRPr="00AB1ACF">
        <w:rPr>
          <w:b/>
          <w:szCs w:val="24"/>
        </w:rPr>
        <w:t xml:space="preserve">AEST) </w:t>
      </w:r>
      <w:r w:rsidRPr="005C0648">
        <w:rPr>
          <w:bCs/>
          <w:szCs w:val="24"/>
        </w:rPr>
        <w:t xml:space="preserve">on </w:t>
      </w:r>
      <w:r>
        <w:rPr>
          <w:bCs/>
          <w:szCs w:val="24"/>
        </w:rPr>
        <w:t xml:space="preserve">Tuesday, </w:t>
      </w:r>
      <w:r w:rsidRPr="00440F65">
        <w:rPr>
          <w:bCs/>
          <w:szCs w:val="24"/>
        </w:rPr>
        <w:t>10</w:t>
      </w:r>
      <w:r w:rsidR="00C776DA" w:rsidRPr="00440F65">
        <w:rPr>
          <w:bCs/>
          <w:szCs w:val="24"/>
        </w:rPr>
        <w:t> </w:t>
      </w:r>
      <w:r w:rsidR="00AB1ACF" w:rsidRPr="00440F65">
        <w:rPr>
          <w:bCs/>
          <w:szCs w:val="24"/>
        </w:rPr>
        <w:t>March</w:t>
      </w:r>
      <w:r w:rsidRPr="00440F65">
        <w:rPr>
          <w:bCs/>
          <w:szCs w:val="24"/>
        </w:rPr>
        <w:t xml:space="preserve"> 2026.</w:t>
      </w:r>
    </w:p>
    <w:p w14:paraId="6DDDD398" w14:textId="0DDCB628" w:rsidR="00C67F31" w:rsidRPr="00440F65" w:rsidRDefault="00D74F25" w:rsidP="007654FF">
      <w:pPr>
        <w:pStyle w:val="ListNumber"/>
        <w:numPr>
          <w:ilvl w:val="0"/>
          <w:numId w:val="0"/>
        </w:numPr>
        <w:spacing w:after="200" w:line="240" w:lineRule="auto"/>
      </w:pPr>
      <w:r w:rsidRPr="00440F65">
        <w:rPr>
          <w:szCs w:val="24"/>
        </w:rPr>
        <w:t xml:space="preserve">You can lodge your application </w:t>
      </w:r>
      <w:r w:rsidRPr="00440F65">
        <w:t xml:space="preserve">through the SmartyGrants website </w:t>
      </w:r>
      <w:hyperlink r:id="rId17" w:history="1">
        <w:r w:rsidR="00B65488" w:rsidRPr="002E4CAF">
          <w:rPr>
            <w:rStyle w:val="Hyperlink"/>
            <w:b/>
            <w:bCs/>
          </w:rPr>
          <w:t>https://datsip.smartygrants.com.au/CRG2026</w:t>
        </w:r>
      </w:hyperlink>
      <w:r w:rsidRPr="00B65488">
        <w:t xml:space="preserve">. </w:t>
      </w:r>
      <w:r w:rsidRPr="00440F65">
        <w:t xml:space="preserve">Staff from our </w:t>
      </w:r>
      <w:hyperlink r:id="rId18" w:history="1">
        <w:r w:rsidRPr="00440F65">
          <w:rPr>
            <w:rStyle w:val="Hyperlink"/>
            <w:rFonts w:eastAsiaTheme="majorEastAsia"/>
          </w:rPr>
          <w:t>regional office</w:t>
        </w:r>
      </w:hyperlink>
      <w:r w:rsidRPr="00440F65">
        <w:t xml:space="preserve"> can assist applicants to upload an application form on SmartyGrants.</w:t>
      </w:r>
    </w:p>
    <w:p w14:paraId="720B53D2" w14:textId="77777777" w:rsidR="00016767" w:rsidRPr="00440F65" w:rsidRDefault="00016767" w:rsidP="007654FF">
      <w:pPr>
        <w:pStyle w:val="ListNumber"/>
        <w:numPr>
          <w:ilvl w:val="0"/>
          <w:numId w:val="0"/>
        </w:numPr>
        <w:spacing w:after="200" w:line="240" w:lineRule="auto"/>
      </w:pPr>
    </w:p>
    <w:p w14:paraId="379B84D1" w14:textId="77777777" w:rsidR="00016767" w:rsidRPr="00440F65" w:rsidRDefault="00D74F25" w:rsidP="007654FF">
      <w:pPr>
        <w:pStyle w:val="ListNumber"/>
        <w:numPr>
          <w:ilvl w:val="0"/>
          <w:numId w:val="0"/>
        </w:numPr>
        <w:spacing w:after="200" w:line="240" w:lineRule="auto"/>
      </w:pPr>
      <w:r w:rsidRPr="00440F65">
        <w:t xml:space="preserve">You must lodge your application through </w:t>
      </w:r>
      <w:proofErr w:type="gramStart"/>
      <w:r w:rsidRPr="00440F65">
        <w:t xml:space="preserve">the </w:t>
      </w:r>
      <w:r w:rsidR="00FA1DC8" w:rsidRPr="00440F65">
        <w:t>SmartyGrants</w:t>
      </w:r>
      <w:proofErr w:type="gramEnd"/>
      <w:r w:rsidR="00FA1DC8" w:rsidRPr="00440F65">
        <w:t xml:space="preserve"> to be eligible.</w:t>
      </w:r>
    </w:p>
    <w:p w14:paraId="6443248F" w14:textId="77777777" w:rsidR="00C67F31" w:rsidRPr="00440F65" w:rsidRDefault="00D74F25" w:rsidP="00D046BE">
      <w:pPr>
        <w:pStyle w:val="Heading2"/>
      </w:pPr>
      <w:r w:rsidRPr="00440F65">
        <w:t>Key Dates</w:t>
      </w:r>
    </w:p>
    <w:p w14:paraId="7EDE6B98" w14:textId="24254C58" w:rsidR="00C67F31" w:rsidRPr="00440F65" w:rsidRDefault="00D74F25" w:rsidP="00D046BE">
      <w:pPr>
        <w:spacing w:after="0"/>
        <w:rPr>
          <w:b/>
          <w:bCs/>
        </w:rPr>
      </w:pPr>
      <w:r w:rsidRPr="00440F65">
        <w:rPr>
          <w:b/>
          <w:bCs/>
        </w:rPr>
        <w:t>Grants Open</w:t>
      </w:r>
      <w:r w:rsidR="00082FE2" w:rsidRPr="00440F65">
        <w:rPr>
          <w:b/>
          <w:bCs/>
        </w:rPr>
        <w:t xml:space="preserve"> </w:t>
      </w:r>
      <w:r w:rsidRPr="00440F65">
        <w:rPr>
          <w:b/>
          <w:bCs/>
        </w:rPr>
        <w:t>–</w:t>
      </w:r>
      <w:r w:rsidR="00082FE2" w:rsidRPr="00440F65">
        <w:rPr>
          <w:b/>
          <w:bCs/>
        </w:rPr>
        <w:t xml:space="preserve"> </w:t>
      </w:r>
      <w:r w:rsidR="00440F65" w:rsidRPr="00440F65">
        <w:t>26</w:t>
      </w:r>
      <w:r w:rsidR="00DF21CB" w:rsidRPr="00440F65">
        <w:t xml:space="preserve"> </w:t>
      </w:r>
      <w:r w:rsidRPr="00440F65">
        <w:t xml:space="preserve">February 2026 </w:t>
      </w:r>
    </w:p>
    <w:p w14:paraId="35D2AAC5" w14:textId="77777777" w:rsidR="00082FE2" w:rsidRPr="00440F65" w:rsidRDefault="00082FE2" w:rsidP="00AB1ACF">
      <w:pPr>
        <w:spacing w:after="0"/>
        <w:rPr>
          <w:b/>
          <w:bCs/>
        </w:rPr>
      </w:pPr>
    </w:p>
    <w:p w14:paraId="6DEE077A" w14:textId="77777777" w:rsidR="00C67F31" w:rsidRPr="00440F65" w:rsidRDefault="00D74F25" w:rsidP="00D046BE">
      <w:pPr>
        <w:spacing w:after="0"/>
        <w:rPr>
          <w:b/>
          <w:bCs/>
        </w:rPr>
      </w:pPr>
      <w:r w:rsidRPr="00440F65">
        <w:rPr>
          <w:b/>
          <w:bCs/>
        </w:rPr>
        <w:t>Grants Close by 8:00am (AEST)</w:t>
      </w:r>
      <w:r w:rsidR="00082FE2" w:rsidRPr="00440F65">
        <w:rPr>
          <w:b/>
          <w:bCs/>
        </w:rPr>
        <w:t xml:space="preserve"> - </w:t>
      </w:r>
      <w:r w:rsidRPr="00440F65">
        <w:t xml:space="preserve">10 March 2026 </w:t>
      </w:r>
    </w:p>
    <w:p w14:paraId="5FA1D133" w14:textId="77777777" w:rsidR="00082FE2" w:rsidRPr="00440F65" w:rsidRDefault="00082FE2" w:rsidP="00AB1ACF">
      <w:pPr>
        <w:spacing w:after="0"/>
        <w:rPr>
          <w:b/>
          <w:bCs/>
        </w:rPr>
      </w:pPr>
    </w:p>
    <w:p w14:paraId="5DE3715C" w14:textId="77777777" w:rsidR="00C67F31" w:rsidRPr="00440F65" w:rsidRDefault="00D74F25" w:rsidP="00D046BE">
      <w:pPr>
        <w:spacing w:after="0"/>
        <w:rPr>
          <w:b/>
          <w:bCs/>
        </w:rPr>
      </w:pPr>
      <w:r w:rsidRPr="00440F65">
        <w:rPr>
          <w:b/>
          <w:bCs/>
        </w:rPr>
        <w:t>Successful applicants announced</w:t>
      </w:r>
      <w:r w:rsidR="00082FE2" w:rsidRPr="00440F65">
        <w:rPr>
          <w:b/>
          <w:bCs/>
        </w:rPr>
        <w:t xml:space="preserve"> </w:t>
      </w:r>
      <w:r w:rsidR="00834A89" w:rsidRPr="00440F65">
        <w:rPr>
          <w:b/>
          <w:bCs/>
        </w:rPr>
        <w:t>–</w:t>
      </w:r>
      <w:r w:rsidR="00082FE2" w:rsidRPr="00440F65">
        <w:rPr>
          <w:b/>
          <w:bCs/>
        </w:rPr>
        <w:t xml:space="preserve"> </w:t>
      </w:r>
      <w:r w:rsidR="00834A89" w:rsidRPr="00440F65">
        <w:t xml:space="preserve">20 April </w:t>
      </w:r>
      <w:r w:rsidRPr="00440F65">
        <w:t xml:space="preserve">2026 (Estimated) </w:t>
      </w:r>
    </w:p>
    <w:p w14:paraId="7980BC79" w14:textId="77777777" w:rsidR="00082FE2" w:rsidRPr="00440F65" w:rsidRDefault="00082FE2" w:rsidP="00D046BE">
      <w:pPr>
        <w:spacing w:after="0"/>
        <w:rPr>
          <w:b/>
          <w:bCs/>
        </w:rPr>
      </w:pPr>
    </w:p>
    <w:p w14:paraId="5ACB56EE" w14:textId="77777777" w:rsidR="00AB1ACF" w:rsidRPr="00440F65" w:rsidRDefault="00D74F25" w:rsidP="00D046BE">
      <w:pPr>
        <w:spacing w:after="0"/>
      </w:pPr>
      <w:r w:rsidRPr="00440F65">
        <w:rPr>
          <w:b/>
          <w:bCs/>
        </w:rPr>
        <w:t>Reconciliation Week</w:t>
      </w:r>
      <w:r w:rsidRPr="00440F65">
        <w:t xml:space="preserve"> </w:t>
      </w:r>
    </w:p>
    <w:p w14:paraId="45D2D4BB" w14:textId="77777777" w:rsidR="00C67F31" w:rsidRDefault="00D74F25" w:rsidP="00D046BE">
      <w:pPr>
        <w:spacing w:after="0"/>
      </w:pPr>
      <w:r w:rsidRPr="00440F65">
        <w:t>Tuesday 27 May 2026 to Tuesday 3 June 2026</w:t>
      </w:r>
      <w:r>
        <w:t xml:space="preserve"> </w:t>
      </w:r>
    </w:p>
    <w:p w14:paraId="4437F5D5" w14:textId="77777777" w:rsidR="00C67F31" w:rsidRPr="00C00D5E" w:rsidRDefault="00D74F25" w:rsidP="00D046BE">
      <w:pPr>
        <w:pStyle w:val="Heading2"/>
      </w:pPr>
      <w:r w:rsidRPr="0079404B">
        <w:t>Assessment Process</w:t>
      </w:r>
    </w:p>
    <w:p w14:paraId="31DEB56F" w14:textId="77777777" w:rsidR="00C67F31" w:rsidRDefault="00D74F25" w:rsidP="007654FF">
      <w:pPr>
        <w:tabs>
          <w:tab w:val="left" w:pos="426"/>
        </w:tabs>
        <w:spacing w:after="0" w:line="240" w:lineRule="auto"/>
      </w:pPr>
      <w:r w:rsidRPr="00C00D5E">
        <w:rPr>
          <w:szCs w:val="24"/>
        </w:rPr>
        <w:t xml:space="preserve">Applications will be assessed by an independent </w:t>
      </w:r>
      <w:r>
        <w:rPr>
          <w:szCs w:val="24"/>
        </w:rPr>
        <w:t>a</w:t>
      </w:r>
      <w:r w:rsidRPr="00C00D5E">
        <w:rPr>
          <w:szCs w:val="24"/>
        </w:rPr>
        <w:t>ssessment panel</w:t>
      </w:r>
      <w:r w:rsidR="00D046BE">
        <w:rPr>
          <w:szCs w:val="24"/>
        </w:rPr>
        <w:t xml:space="preserve"> for eligibility, </w:t>
      </w:r>
      <w:r w:rsidRPr="00C00D5E">
        <w:rPr>
          <w:szCs w:val="24"/>
        </w:rPr>
        <w:t xml:space="preserve">against the </w:t>
      </w:r>
      <w:r>
        <w:rPr>
          <w:szCs w:val="24"/>
        </w:rPr>
        <w:t>Assessment Criteria</w:t>
      </w:r>
      <w:r w:rsidRPr="0079404B">
        <w:t xml:space="preserve"> </w:t>
      </w:r>
      <w:r w:rsidR="00D046BE">
        <w:t>as well as</w:t>
      </w:r>
      <w:r w:rsidRPr="0079404B">
        <w:t xml:space="preserve"> eligible expenses </w:t>
      </w:r>
      <w:r w:rsidRPr="0079404B">
        <w:t xml:space="preserve">outlined in these Guidelines for Funding using the evidence documents you provide. </w:t>
      </w:r>
    </w:p>
    <w:p w14:paraId="47E340FC" w14:textId="77777777" w:rsidR="00C776DA" w:rsidRDefault="00C776DA" w:rsidP="007654FF">
      <w:pPr>
        <w:tabs>
          <w:tab w:val="left" w:pos="426"/>
        </w:tabs>
        <w:spacing w:after="0" w:line="240" w:lineRule="auto"/>
      </w:pPr>
    </w:p>
    <w:p w14:paraId="7440DF55" w14:textId="77777777" w:rsidR="00C67F31" w:rsidRPr="00C00D5E" w:rsidRDefault="00D74F25" w:rsidP="00D046BE">
      <w:pPr>
        <w:pStyle w:val="Heading2"/>
      </w:pPr>
      <w:r w:rsidRPr="00C00D5E">
        <w:t>Successful applicants</w:t>
      </w:r>
    </w:p>
    <w:p w14:paraId="77C4AD45" w14:textId="77777777" w:rsidR="00C67F31" w:rsidRDefault="00D74F25" w:rsidP="007654FF">
      <w:pPr>
        <w:spacing w:after="120" w:line="240" w:lineRule="auto"/>
        <w:rPr>
          <w:lang w:val="en-AU" w:eastAsia="en-US"/>
        </w:rPr>
      </w:pPr>
      <w:r>
        <w:t>You will be notified of your success in receiving this Grant through an announcement by the Minister</w:t>
      </w:r>
      <w:r w:rsidR="003D1E9C">
        <w:rPr>
          <w:lang w:val="en-AU" w:eastAsia="en-US"/>
        </w:rPr>
        <w:t>.</w:t>
      </w:r>
    </w:p>
    <w:p w14:paraId="4F3837C3" w14:textId="77777777" w:rsidR="00C67F31" w:rsidRPr="00C00D5E" w:rsidRDefault="00D74F25" w:rsidP="007654FF">
      <w:pPr>
        <w:spacing w:after="120" w:line="240" w:lineRule="auto"/>
      </w:pPr>
      <w:r w:rsidRPr="00C00D5E">
        <w:rPr>
          <w:lang w:val="en-AU" w:eastAsia="en-US"/>
        </w:rPr>
        <w:t xml:space="preserve">All grant recipients will be required to: </w:t>
      </w:r>
    </w:p>
    <w:p w14:paraId="3AC00BE2"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proofErr w:type="gramStart"/>
      <w:r w:rsidRPr="00C00D5E">
        <w:rPr>
          <w:lang w:val="en-AU" w:eastAsia="en-US"/>
        </w:rPr>
        <w:t>enter into</w:t>
      </w:r>
      <w:proofErr w:type="gramEnd"/>
      <w:r w:rsidRPr="00C00D5E">
        <w:rPr>
          <w:lang w:val="en-AU" w:eastAsia="en-US"/>
        </w:rPr>
        <w:t>, and comply with, a funding agreement and its terms and conditions.</w:t>
      </w:r>
    </w:p>
    <w:p w14:paraId="7494A0FC"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 xml:space="preserve">acknowledge the Queensland Government funding with a Queensland Government crest on all promotional material associated with the funded event. </w:t>
      </w:r>
    </w:p>
    <w:p w14:paraId="04F0D31E" w14:textId="77777777" w:rsidR="00C67F31" w:rsidRPr="00C00D5E" w:rsidRDefault="00D74F25" w:rsidP="007654FF">
      <w:pPr>
        <w:pStyle w:val="ListParagraph"/>
        <w:numPr>
          <w:ilvl w:val="0"/>
          <w:numId w:val="8"/>
        </w:numPr>
        <w:tabs>
          <w:tab w:val="clear" w:pos="2835"/>
        </w:tabs>
        <w:spacing w:line="240" w:lineRule="auto"/>
        <w:contextualSpacing/>
        <w:rPr>
          <w:lang w:val="en-AU" w:eastAsia="en-US"/>
        </w:rPr>
      </w:pPr>
      <w:r w:rsidRPr="00C00D5E">
        <w:rPr>
          <w:lang w:val="en-AU" w:eastAsia="en-US"/>
        </w:rPr>
        <w:t>submit an Event and Financial (Acquittal) Report by the specified due date.</w:t>
      </w:r>
    </w:p>
    <w:p w14:paraId="25DFEB36" w14:textId="77777777" w:rsidR="00C67F31" w:rsidRDefault="00D74F25" w:rsidP="002004A5">
      <w:pPr>
        <w:pStyle w:val="ListParagraph"/>
        <w:numPr>
          <w:ilvl w:val="0"/>
          <w:numId w:val="8"/>
        </w:numPr>
        <w:tabs>
          <w:tab w:val="left" w:pos="426"/>
        </w:tabs>
        <w:spacing w:after="0" w:line="240" w:lineRule="auto"/>
      </w:pPr>
      <w:r w:rsidRPr="002004A5">
        <w:rPr>
          <w:lang w:val="en-AU" w:eastAsia="en-US"/>
        </w:rPr>
        <w:t xml:space="preserve">immediately inform the Department of Women, Aboriginal and Torres Strait Islander Partnerships and Multiculturalism via email </w:t>
      </w:r>
      <w:hyperlink r:id="rId19" w:history="1">
        <w:r w:rsidRPr="002004A5">
          <w:rPr>
            <w:rStyle w:val="Hyperlink"/>
            <w:rFonts w:eastAsiaTheme="majorEastAsia"/>
            <w:lang w:val="en-AU" w:eastAsia="en-US"/>
          </w:rPr>
          <w:t>crg@dwatsipm.qld.gov.au</w:t>
        </w:r>
      </w:hyperlink>
      <w:r w:rsidRPr="002004A5">
        <w:rPr>
          <w:lang w:val="en-AU" w:eastAsia="en-US"/>
        </w:rPr>
        <w:t xml:space="preserve"> of any proposed changes to the funded event, e.g. change in activities, dates, and locations.</w:t>
      </w:r>
    </w:p>
    <w:p w14:paraId="1A4F2AC5" w14:textId="77777777" w:rsidR="00C67F31" w:rsidRPr="00C00D5E" w:rsidRDefault="00D74F25" w:rsidP="00D046BE">
      <w:pPr>
        <w:pStyle w:val="Heading2"/>
      </w:pPr>
      <w:r>
        <w:t>Funding Conditions</w:t>
      </w:r>
    </w:p>
    <w:p w14:paraId="6A288B39" w14:textId="77777777" w:rsidR="00C67F31" w:rsidRDefault="00D74F25" w:rsidP="007654FF">
      <w:pPr>
        <w:spacing w:after="160" w:line="240" w:lineRule="auto"/>
      </w:pPr>
      <w:r>
        <w:t>Successful applicants must:</w:t>
      </w:r>
    </w:p>
    <w:p w14:paraId="30720ABC" w14:textId="77777777" w:rsidR="00C67F31" w:rsidRPr="0002523B" w:rsidRDefault="00D74F25" w:rsidP="007654FF">
      <w:pPr>
        <w:pStyle w:val="ListParagraph"/>
        <w:numPr>
          <w:ilvl w:val="0"/>
          <w:numId w:val="8"/>
        </w:numPr>
        <w:tabs>
          <w:tab w:val="clear" w:pos="2835"/>
        </w:tabs>
        <w:spacing w:line="240" w:lineRule="auto"/>
        <w:contextualSpacing/>
        <w:rPr>
          <w:lang w:val="en-AU" w:eastAsia="en-US"/>
        </w:rPr>
      </w:pPr>
      <w:r w:rsidRPr="0002523B">
        <w:t>Use the funds only for approved purposes</w:t>
      </w:r>
      <w:r w:rsidR="000249B4" w:rsidRPr="0002523B">
        <w:t xml:space="preserve"> with the agreed timeframe under the funding agreement</w:t>
      </w:r>
      <w:r w:rsidRPr="0002523B">
        <w:t>.</w:t>
      </w:r>
    </w:p>
    <w:p w14:paraId="22129FE5" w14:textId="77777777" w:rsidR="00C67F31" w:rsidRPr="0002523B" w:rsidRDefault="00D74F25" w:rsidP="007654FF">
      <w:pPr>
        <w:pStyle w:val="ListParagraph"/>
        <w:numPr>
          <w:ilvl w:val="0"/>
          <w:numId w:val="8"/>
        </w:numPr>
        <w:tabs>
          <w:tab w:val="clear" w:pos="2835"/>
        </w:tabs>
        <w:spacing w:line="240" w:lineRule="auto"/>
        <w:contextualSpacing/>
        <w:rPr>
          <w:lang w:val="en-AU" w:eastAsia="en-US"/>
        </w:rPr>
      </w:pPr>
      <w:r w:rsidRPr="0002523B">
        <w:t>Retain all application evidence, including receipts, invoices and bank transactions relating to the grant funding.</w:t>
      </w:r>
    </w:p>
    <w:p w14:paraId="3F8CE69D" w14:textId="77777777" w:rsidR="00AF6928" w:rsidRPr="00765C94" w:rsidRDefault="00D74F25" w:rsidP="007654FF">
      <w:pPr>
        <w:pStyle w:val="ListParagraph"/>
        <w:numPr>
          <w:ilvl w:val="0"/>
          <w:numId w:val="8"/>
        </w:numPr>
        <w:tabs>
          <w:tab w:val="clear" w:pos="2835"/>
        </w:tabs>
        <w:spacing w:line="240" w:lineRule="auto"/>
        <w:contextualSpacing/>
      </w:pPr>
      <w:r w:rsidRPr="0002523B">
        <w:t>Provide reporting</w:t>
      </w:r>
      <w:r>
        <w:t xml:space="preserve"> within three months of the event or activity funded as per the agreement. </w:t>
      </w:r>
    </w:p>
    <w:p w14:paraId="1B77E762" w14:textId="77777777" w:rsidR="00D12B14" w:rsidRPr="00765C94" w:rsidRDefault="00D74F25" w:rsidP="007654FF">
      <w:pPr>
        <w:pStyle w:val="ListParagraph"/>
        <w:numPr>
          <w:ilvl w:val="0"/>
          <w:numId w:val="8"/>
        </w:numPr>
        <w:tabs>
          <w:tab w:val="clear" w:pos="2835"/>
        </w:tabs>
        <w:spacing w:line="240" w:lineRule="auto"/>
        <w:contextualSpacing/>
      </w:pPr>
      <w:r w:rsidRPr="00765C94">
        <w:t xml:space="preserve">Meet relevant image or media obligations for sharing photography and videos for publication and promotion by the department.  </w:t>
      </w:r>
    </w:p>
    <w:p w14:paraId="61F465FA" w14:textId="77777777" w:rsidR="00C67F31" w:rsidRPr="00C00D5E" w:rsidRDefault="00D74F25" w:rsidP="00D046BE">
      <w:pPr>
        <w:pStyle w:val="Heading2"/>
      </w:pPr>
      <w:r>
        <w:t>Tax Implications</w:t>
      </w:r>
    </w:p>
    <w:p w14:paraId="77F91DAE" w14:textId="77777777" w:rsidR="00C67F31" w:rsidRDefault="00D74F25" w:rsidP="007654FF">
      <w:pPr>
        <w:spacing w:after="0" w:line="240" w:lineRule="auto"/>
      </w:pPr>
      <w:r>
        <w:t>The taxation implications of any payments made to an applicant under this program may differ depending on the applicant’s circumstances. The Queensland Government is unable to provide taxation advice and accordingly we recommend seeking your own professional advice to determine any taxation implications that may apply.</w:t>
      </w:r>
    </w:p>
    <w:p w14:paraId="2AF491B3" w14:textId="77777777" w:rsidR="00C67F31" w:rsidRDefault="00C67F31" w:rsidP="007654FF">
      <w:pPr>
        <w:spacing w:after="0" w:line="240" w:lineRule="auto"/>
      </w:pPr>
    </w:p>
    <w:p w14:paraId="038652AD" w14:textId="77777777" w:rsidR="00C67F31" w:rsidRDefault="00D74F25" w:rsidP="007654FF">
      <w:pPr>
        <w:spacing w:after="0" w:line="240" w:lineRule="auto"/>
      </w:pPr>
      <w:r>
        <w:t xml:space="preserve">The Australian Taxation Office has information that may also assist you at </w:t>
      </w:r>
      <w:hyperlink r:id="rId20" w:history="1">
        <w:r>
          <w:rPr>
            <w:rStyle w:val="Hyperlink"/>
            <w:rFonts w:eastAsiaTheme="majorEastAsia"/>
          </w:rPr>
          <w:t>www.ato.gov.au</w:t>
        </w:r>
      </w:hyperlink>
      <w:r>
        <w:t xml:space="preserve">. </w:t>
      </w:r>
    </w:p>
    <w:p w14:paraId="531E77BC" w14:textId="77777777" w:rsidR="009D6711" w:rsidRDefault="009D6711" w:rsidP="00D046BE">
      <w:pPr>
        <w:pStyle w:val="Heading2"/>
      </w:pPr>
    </w:p>
    <w:p w14:paraId="52E44CAD" w14:textId="77777777" w:rsidR="00C67F31" w:rsidRPr="00C00D5E" w:rsidRDefault="00D74F25" w:rsidP="00D046BE">
      <w:pPr>
        <w:pStyle w:val="Heading2"/>
      </w:pPr>
      <w:r w:rsidRPr="007040FD">
        <w:t xml:space="preserve">Reporting and </w:t>
      </w:r>
      <w:r>
        <w:t>A</w:t>
      </w:r>
      <w:r w:rsidRPr="007040FD">
        <w:t>cquittal</w:t>
      </w:r>
    </w:p>
    <w:p w14:paraId="1B5E5979" w14:textId="77777777" w:rsidR="00C67F31" w:rsidRDefault="00D74F25" w:rsidP="00C15D22">
      <w:pPr>
        <w:spacing w:after="0" w:line="240" w:lineRule="auto"/>
      </w:pPr>
      <w:r w:rsidRPr="007040FD">
        <w:t>Successful applicants must</w:t>
      </w:r>
      <w:r w:rsidR="00C15D22">
        <w:t xml:space="preserve"> r</w:t>
      </w:r>
      <w:r w:rsidRPr="007040FD">
        <w:t>etain all application evidence, including receipts, invoices and bank transactions, and submit the</w:t>
      </w:r>
      <w:r w:rsidR="00F003DF">
        <w:t>se</w:t>
      </w:r>
      <w:r w:rsidRPr="007040FD">
        <w:t xml:space="preserve"> on request from the Queensland Government for audit purposes. </w:t>
      </w:r>
    </w:p>
    <w:p w14:paraId="0D9B3B85" w14:textId="77777777" w:rsidR="00C67F31" w:rsidRDefault="00C67F31" w:rsidP="007654FF">
      <w:pPr>
        <w:spacing w:after="0" w:line="240" w:lineRule="auto"/>
      </w:pPr>
    </w:p>
    <w:p w14:paraId="17471883" w14:textId="77777777" w:rsidR="00D12B14" w:rsidRDefault="00D74F25" w:rsidP="00D12B14">
      <w:pPr>
        <w:spacing w:after="0" w:line="240" w:lineRule="auto"/>
      </w:pPr>
      <w:r w:rsidRPr="007040FD">
        <w:t xml:space="preserve">This is required </w:t>
      </w:r>
      <w:r w:rsidR="00C15D22" w:rsidRPr="007040FD">
        <w:t>to</w:t>
      </w:r>
      <w:r w:rsidRPr="007040FD">
        <w:t xml:space="preserve"> accurately report on all funded expenses and the expenditure incurred under the </w:t>
      </w:r>
      <w:r>
        <w:t>Celebrating Reconciliation</w:t>
      </w:r>
      <w:r w:rsidRPr="007040FD">
        <w:t xml:space="preserve"> Grants. </w:t>
      </w:r>
    </w:p>
    <w:p w14:paraId="1D84201A" w14:textId="77777777" w:rsidR="00831A2A" w:rsidRDefault="00D74F25" w:rsidP="00831A2A">
      <w:pPr>
        <w:pStyle w:val="Heading2"/>
      </w:pPr>
      <w:r w:rsidRPr="00C00D5E">
        <w:t>Promotional Opportunities</w:t>
      </w:r>
    </w:p>
    <w:p w14:paraId="70D035FF" w14:textId="77777777" w:rsidR="00D12B14" w:rsidRDefault="00D74F25" w:rsidP="00264400">
      <w:pPr>
        <w:spacing w:line="240" w:lineRule="auto"/>
        <w:rPr>
          <w:lang w:val="en-AU" w:eastAsia="en-US"/>
        </w:rPr>
      </w:pPr>
      <w:r w:rsidRPr="00C00D5E">
        <w:rPr>
          <w:lang w:val="en-AU" w:eastAsia="en-US"/>
        </w:rPr>
        <w:t xml:space="preserve">The Department of </w:t>
      </w:r>
      <w:r>
        <w:rPr>
          <w:lang w:val="en-AU" w:eastAsia="en-US"/>
        </w:rPr>
        <w:t>Women, Aboriginal and Torres Strait Islander Partnerships and Multiculturalism</w:t>
      </w:r>
      <w:r w:rsidRPr="00C00D5E">
        <w:rPr>
          <w:lang w:val="en-AU" w:eastAsia="en-US"/>
        </w:rPr>
        <w:t xml:space="preserve"> and/or the Minister may contact </w:t>
      </w:r>
      <w:r>
        <w:rPr>
          <w:lang w:val="en-AU" w:eastAsia="en-US"/>
        </w:rPr>
        <w:t xml:space="preserve">successful </w:t>
      </w:r>
      <w:r w:rsidRPr="00C00D5E">
        <w:rPr>
          <w:lang w:val="en-AU" w:eastAsia="en-US"/>
        </w:rPr>
        <w:t xml:space="preserve">grant </w:t>
      </w:r>
      <w:r>
        <w:rPr>
          <w:lang w:val="en-AU" w:eastAsia="en-US"/>
        </w:rPr>
        <w:t>recipients</w:t>
      </w:r>
      <w:r w:rsidRPr="00C00D5E">
        <w:rPr>
          <w:lang w:val="en-AU" w:eastAsia="en-US"/>
        </w:rPr>
        <w:t xml:space="preserve"> for any promotional and advertising </w:t>
      </w:r>
      <w:r w:rsidRPr="00C00D5E">
        <w:rPr>
          <w:lang w:val="en-AU" w:eastAsia="en-US"/>
        </w:rPr>
        <w:t>purposes in relation to the</w:t>
      </w:r>
      <w:r>
        <w:rPr>
          <w:lang w:val="en-AU" w:eastAsia="en-US"/>
        </w:rPr>
        <w:t xml:space="preserve"> 2026</w:t>
      </w:r>
      <w:r w:rsidRPr="00C00D5E">
        <w:rPr>
          <w:lang w:val="en-AU" w:eastAsia="en-US"/>
        </w:rPr>
        <w:t xml:space="preserve"> Celebrating Reconciliation Grants.</w:t>
      </w:r>
      <w:r>
        <w:rPr>
          <w:lang w:val="en-AU" w:eastAsia="en-US"/>
        </w:rPr>
        <w:t xml:space="preserve"> </w:t>
      </w:r>
    </w:p>
    <w:p w14:paraId="7EB46C72" w14:textId="77777777" w:rsidR="00264400" w:rsidRDefault="00D74F25" w:rsidP="00264400">
      <w:pPr>
        <w:spacing w:line="240" w:lineRule="auto"/>
        <w:rPr>
          <w:lang w:val="en-AU" w:eastAsia="en-US"/>
        </w:rPr>
      </w:pPr>
      <w:r>
        <w:rPr>
          <w:lang w:val="en-AU" w:eastAsia="en-US"/>
        </w:rPr>
        <w:t xml:space="preserve">Successful applicants </w:t>
      </w:r>
      <w:r w:rsidR="00D12B14">
        <w:rPr>
          <w:lang w:val="en-AU" w:eastAsia="en-US"/>
        </w:rPr>
        <w:t>will</w:t>
      </w:r>
      <w:r>
        <w:rPr>
          <w:lang w:val="en-AU" w:eastAsia="en-US"/>
        </w:rPr>
        <w:t xml:space="preserve"> be asked to ensure appropriate consents are in place to promote the event and including the use of imagery at or following the event. </w:t>
      </w:r>
    </w:p>
    <w:p w14:paraId="6AB15882" w14:textId="77777777" w:rsidR="00264400" w:rsidRPr="000C5B1B" w:rsidRDefault="00264400" w:rsidP="00264400">
      <w:pPr>
        <w:spacing w:line="240" w:lineRule="auto"/>
        <w:rPr>
          <w:lang w:val="en-AU" w:eastAsia="en-US"/>
        </w:rPr>
      </w:pPr>
    </w:p>
    <w:p w14:paraId="309D6040" w14:textId="77777777" w:rsidR="00C14667" w:rsidRPr="000C5B1B" w:rsidRDefault="00D74F25" w:rsidP="00C14667">
      <w:pPr>
        <w:spacing w:line="240" w:lineRule="auto"/>
        <w:rPr>
          <w:lang w:val="en-AU" w:eastAsia="en-US"/>
        </w:rPr>
      </w:pPr>
      <w:r>
        <w:rPr>
          <w:lang w:val="en-AU" w:eastAsia="en-US"/>
        </w:rPr>
        <w:t xml:space="preserve"> </w:t>
      </w:r>
    </w:p>
    <w:p w14:paraId="208235BE" w14:textId="77777777" w:rsidR="00D331A4" w:rsidRDefault="00D331A4" w:rsidP="00D331A4"/>
    <w:p w14:paraId="3E54803B" w14:textId="77777777" w:rsidR="00D331A4" w:rsidRDefault="00D331A4" w:rsidP="00D331A4"/>
    <w:p w14:paraId="4AC838D7" w14:textId="77777777" w:rsidR="00D331A4" w:rsidRDefault="00D331A4" w:rsidP="00D331A4"/>
    <w:p w14:paraId="7E396F09" w14:textId="77777777" w:rsidR="00D331A4" w:rsidRDefault="00D331A4" w:rsidP="00D331A4"/>
    <w:p w14:paraId="7C65B1CA" w14:textId="77777777" w:rsidR="00D331A4" w:rsidRDefault="00D331A4" w:rsidP="00D331A4"/>
    <w:p w14:paraId="64628698" w14:textId="77777777" w:rsidR="00831A2A" w:rsidRDefault="00831A2A" w:rsidP="00831A2A"/>
    <w:p w14:paraId="32D26AEF" w14:textId="77777777" w:rsidR="00151888" w:rsidRPr="00831A2A" w:rsidRDefault="00151888" w:rsidP="00831A2A">
      <w:pPr>
        <w:sectPr w:rsidR="00151888" w:rsidRPr="00831A2A" w:rsidSect="00367608">
          <w:type w:val="continuous"/>
          <w:pgSz w:w="11906" w:h="16838" w:code="9"/>
          <w:pgMar w:top="1134" w:right="707" w:bottom="1560" w:left="709" w:header="0" w:footer="222" w:gutter="0"/>
          <w:cols w:num="2" w:space="708"/>
          <w:docGrid w:linePitch="360"/>
        </w:sectPr>
      </w:pPr>
    </w:p>
    <w:p w14:paraId="4D5D1403" w14:textId="77777777" w:rsidR="00D046BE" w:rsidRPr="00903E31" w:rsidRDefault="00D74F25" w:rsidP="00903E31">
      <w:pPr>
        <w:pStyle w:val="Heading2"/>
      </w:pPr>
      <w:r w:rsidRPr="00C00D5E">
        <w:t xml:space="preserve">Assessment </w:t>
      </w:r>
      <w:r>
        <w:t>C</w:t>
      </w:r>
      <w:r w:rsidRPr="00C00D5E">
        <w:t>riteria</w:t>
      </w:r>
    </w:p>
    <w:tbl>
      <w:tblPr>
        <w:tblW w:w="9923" w:type="dxa"/>
        <w:tblBorders>
          <w:insideH w:val="single" w:sz="2" w:space="0" w:color="BFBFBF"/>
          <w:insideV w:val="single" w:sz="2" w:space="0" w:color="BFBFBF"/>
        </w:tblBorders>
        <w:tblCellMar>
          <w:left w:w="0" w:type="dxa"/>
          <w:right w:w="0" w:type="dxa"/>
        </w:tblCellMar>
        <w:tblLook w:val="04A0" w:firstRow="1" w:lastRow="0" w:firstColumn="1" w:lastColumn="0" w:noHBand="0" w:noVBand="1"/>
      </w:tblPr>
      <w:tblGrid>
        <w:gridCol w:w="8364"/>
        <w:gridCol w:w="1559"/>
      </w:tblGrid>
      <w:tr w:rsidR="003F4AE4" w14:paraId="2EEED836" w14:textId="77777777" w:rsidTr="00082FE2">
        <w:trPr>
          <w:trHeight w:val="80"/>
        </w:trPr>
        <w:tc>
          <w:tcPr>
            <w:tcW w:w="8364" w:type="dxa"/>
            <w:tcBorders>
              <w:top w:val="nil"/>
              <w:bottom w:val="single" w:sz="2" w:space="0" w:color="BFBFBF"/>
            </w:tcBorders>
            <w:shd w:val="clear" w:color="auto" w:fill="0070C0"/>
          </w:tcPr>
          <w:p w14:paraId="06D591FB" w14:textId="77777777" w:rsidR="00D046BE" w:rsidRPr="00C00D5E" w:rsidRDefault="00D74F25" w:rsidP="00E15737">
            <w:pPr>
              <w:pStyle w:val="Tableheader"/>
            </w:pPr>
            <w:r w:rsidRPr="00C00D5E">
              <w:t>Criteria</w:t>
            </w:r>
          </w:p>
        </w:tc>
        <w:tc>
          <w:tcPr>
            <w:tcW w:w="1559" w:type="dxa"/>
            <w:shd w:val="clear" w:color="auto" w:fill="0070C0"/>
          </w:tcPr>
          <w:p w14:paraId="4A4E0A52" w14:textId="77777777" w:rsidR="00D046BE" w:rsidRPr="00C00D5E" w:rsidRDefault="00D74F25" w:rsidP="00E15737">
            <w:pPr>
              <w:pStyle w:val="Tableheader"/>
            </w:pPr>
            <w:r w:rsidRPr="00C00D5E">
              <w:t>Weighting %</w:t>
            </w:r>
          </w:p>
        </w:tc>
      </w:tr>
      <w:tr w:rsidR="003F4AE4" w14:paraId="6CDD9207" w14:textId="77777777" w:rsidTr="00E15737">
        <w:trPr>
          <w:trHeight w:val="341"/>
        </w:trPr>
        <w:tc>
          <w:tcPr>
            <w:tcW w:w="8364" w:type="dxa"/>
            <w:tcBorders>
              <w:top w:val="single" w:sz="2" w:space="0" w:color="BFBFBF"/>
              <w:bottom w:val="single" w:sz="2" w:space="0" w:color="BFBFBF"/>
            </w:tcBorders>
            <w:vAlign w:val="center"/>
          </w:tcPr>
          <w:p w14:paraId="1BE96317" w14:textId="77777777" w:rsidR="00D046BE" w:rsidRPr="00C00D5E" w:rsidRDefault="00D74F25" w:rsidP="00E15737">
            <w:pPr>
              <w:spacing w:before="120" w:after="120" w:line="240" w:lineRule="auto"/>
              <w:ind w:left="62" w:right="62"/>
            </w:pPr>
            <w:r w:rsidRPr="00C00D5E">
              <w:t>Demonstrates how the event or activity supports the program objectives of the Celebrating Reconciliation Grants.</w:t>
            </w:r>
          </w:p>
        </w:tc>
        <w:tc>
          <w:tcPr>
            <w:tcW w:w="1559" w:type="dxa"/>
            <w:vAlign w:val="center"/>
          </w:tcPr>
          <w:p w14:paraId="638B2A2B" w14:textId="77777777" w:rsidR="00D046BE" w:rsidRPr="00C00D5E" w:rsidRDefault="00D74F25" w:rsidP="00E15737">
            <w:pPr>
              <w:spacing w:before="120" w:after="120" w:line="240" w:lineRule="auto"/>
              <w:ind w:left="62" w:right="62"/>
              <w:jc w:val="center"/>
            </w:pPr>
            <w:r w:rsidRPr="00C00D5E">
              <w:t>30</w:t>
            </w:r>
          </w:p>
        </w:tc>
      </w:tr>
      <w:tr w:rsidR="003F4AE4" w14:paraId="76792B24" w14:textId="77777777" w:rsidTr="00E15737">
        <w:trPr>
          <w:trHeight w:val="202"/>
        </w:trPr>
        <w:tc>
          <w:tcPr>
            <w:tcW w:w="8364" w:type="dxa"/>
            <w:tcBorders>
              <w:top w:val="single" w:sz="2" w:space="0" w:color="BFBFBF"/>
              <w:bottom w:val="single" w:sz="2" w:space="0" w:color="BFBFBF"/>
            </w:tcBorders>
            <w:vAlign w:val="center"/>
          </w:tcPr>
          <w:p w14:paraId="0B3811A7" w14:textId="77777777" w:rsidR="00D046BE" w:rsidRPr="00C00D5E" w:rsidRDefault="00D74F25" w:rsidP="00E15737">
            <w:pPr>
              <w:spacing w:before="120" w:after="120" w:line="240" w:lineRule="auto"/>
              <w:ind w:left="62" w:right="62"/>
            </w:pPr>
            <w:r w:rsidRPr="00C00D5E">
              <w:t xml:space="preserve">Demonstrates how Aboriginal and/or Torres Strait Islander </w:t>
            </w:r>
            <w:proofErr w:type="gramStart"/>
            <w:r w:rsidRPr="00C00D5E">
              <w:t>peoples</w:t>
            </w:r>
            <w:proofErr w:type="gramEnd"/>
            <w:r w:rsidRPr="00C00D5E">
              <w:t xml:space="preserve"> will be included in the design and delivery of the event or activity.</w:t>
            </w:r>
          </w:p>
        </w:tc>
        <w:tc>
          <w:tcPr>
            <w:tcW w:w="1559" w:type="dxa"/>
            <w:vAlign w:val="center"/>
          </w:tcPr>
          <w:p w14:paraId="0109F7EF" w14:textId="77777777" w:rsidR="00D046BE" w:rsidRPr="00C00D5E" w:rsidRDefault="00D74F25" w:rsidP="00E15737">
            <w:pPr>
              <w:spacing w:before="120" w:after="120" w:line="240" w:lineRule="auto"/>
              <w:ind w:left="62" w:right="62"/>
              <w:jc w:val="center"/>
            </w:pPr>
            <w:r w:rsidRPr="00C00D5E">
              <w:t>30</w:t>
            </w:r>
          </w:p>
        </w:tc>
      </w:tr>
      <w:tr w:rsidR="003F4AE4" w14:paraId="3303E584" w14:textId="77777777" w:rsidTr="00E15737">
        <w:trPr>
          <w:trHeight w:val="75"/>
        </w:trPr>
        <w:tc>
          <w:tcPr>
            <w:tcW w:w="8364" w:type="dxa"/>
            <w:tcBorders>
              <w:top w:val="single" w:sz="2" w:space="0" w:color="BFBFBF"/>
              <w:bottom w:val="single" w:sz="2" w:space="0" w:color="BFBFBF"/>
            </w:tcBorders>
            <w:vAlign w:val="center"/>
          </w:tcPr>
          <w:p w14:paraId="21790170" w14:textId="77777777" w:rsidR="00D046BE" w:rsidRPr="00C00D5E" w:rsidRDefault="00D74F25" w:rsidP="00E15737">
            <w:pPr>
              <w:spacing w:before="120" w:after="120" w:line="240" w:lineRule="auto"/>
              <w:ind w:left="62" w:right="62"/>
            </w:pPr>
            <w:r w:rsidRPr="00C00D5E">
              <w:t>Presents a plan for the event or activity including proposed methods for promotion.</w:t>
            </w:r>
          </w:p>
        </w:tc>
        <w:tc>
          <w:tcPr>
            <w:tcW w:w="1559" w:type="dxa"/>
            <w:vAlign w:val="center"/>
          </w:tcPr>
          <w:p w14:paraId="3A38E05B" w14:textId="77777777" w:rsidR="00D046BE" w:rsidRPr="00C00D5E" w:rsidRDefault="00D74F25" w:rsidP="00E15737">
            <w:pPr>
              <w:spacing w:before="120" w:after="120" w:line="240" w:lineRule="auto"/>
              <w:ind w:left="62" w:right="62"/>
              <w:jc w:val="center"/>
            </w:pPr>
            <w:r w:rsidRPr="00C00D5E">
              <w:t>15</w:t>
            </w:r>
          </w:p>
        </w:tc>
      </w:tr>
      <w:tr w:rsidR="003F4AE4" w14:paraId="2EAE4369" w14:textId="77777777" w:rsidTr="00E15737">
        <w:trPr>
          <w:trHeight w:val="75"/>
        </w:trPr>
        <w:tc>
          <w:tcPr>
            <w:tcW w:w="8364" w:type="dxa"/>
            <w:tcBorders>
              <w:top w:val="single" w:sz="2" w:space="0" w:color="BFBFBF"/>
              <w:bottom w:val="single" w:sz="2" w:space="0" w:color="BFBFBF"/>
            </w:tcBorders>
            <w:vAlign w:val="center"/>
          </w:tcPr>
          <w:p w14:paraId="3788C65B" w14:textId="77777777" w:rsidR="00D046BE" w:rsidRPr="00C00D5E" w:rsidRDefault="00D74F25" w:rsidP="00E15737">
            <w:pPr>
              <w:spacing w:before="120" w:after="120" w:line="240" w:lineRule="auto"/>
              <w:ind w:left="62" w:right="62"/>
            </w:pPr>
            <w:r w:rsidRPr="00C00D5E">
              <w:t>Presents a budget that is complete, realistic, provides value for money, and clearly outlines how the grant funding will be spent.</w:t>
            </w:r>
          </w:p>
        </w:tc>
        <w:tc>
          <w:tcPr>
            <w:tcW w:w="1559" w:type="dxa"/>
            <w:vAlign w:val="center"/>
          </w:tcPr>
          <w:p w14:paraId="152E5CE4" w14:textId="77777777" w:rsidR="00D046BE" w:rsidRPr="00C00D5E" w:rsidRDefault="00D74F25" w:rsidP="00E15737">
            <w:pPr>
              <w:spacing w:before="120" w:after="120" w:line="240" w:lineRule="auto"/>
              <w:ind w:left="62" w:right="62"/>
              <w:jc w:val="center"/>
            </w:pPr>
            <w:r w:rsidRPr="00C00D5E">
              <w:t>15</w:t>
            </w:r>
          </w:p>
        </w:tc>
      </w:tr>
      <w:tr w:rsidR="003F4AE4" w14:paraId="207ECC8C" w14:textId="77777777" w:rsidTr="00E15737">
        <w:trPr>
          <w:trHeight w:val="75"/>
        </w:trPr>
        <w:tc>
          <w:tcPr>
            <w:tcW w:w="8364" w:type="dxa"/>
            <w:tcBorders>
              <w:top w:val="single" w:sz="2" w:space="0" w:color="BFBFBF"/>
            </w:tcBorders>
            <w:vAlign w:val="center"/>
          </w:tcPr>
          <w:p w14:paraId="6E5CEFE7" w14:textId="77777777" w:rsidR="00D046BE" w:rsidRPr="00C00D5E" w:rsidRDefault="00D74F25" w:rsidP="00E15737">
            <w:pPr>
              <w:spacing w:before="120" w:after="120" w:line="240" w:lineRule="auto"/>
              <w:ind w:left="62" w:right="62"/>
            </w:pPr>
            <w:r w:rsidRPr="00C00D5E">
              <w:t>Demonstrates capacity and experience to manage and deliver the event or activity (including planning, implementation, and evaluation of its success).</w:t>
            </w:r>
          </w:p>
        </w:tc>
        <w:tc>
          <w:tcPr>
            <w:tcW w:w="1559" w:type="dxa"/>
            <w:vAlign w:val="center"/>
          </w:tcPr>
          <w:p w14:paraId="7E6C6C2C" w14:textId="77777777" w:rsidR="00D046BE" w:rsidRPr="00C00D5E" w:rsidRDefault="00D74F25" w:rsidP="00E15737">
            <w:pPr>
              <w:spacing w:before="120" w:after="120" w:line="240" w:lineRule="auto"/>
              <w:ind w:left="62" w:right="62"/>
              <w:jc w:val="center"/>
            </w:pPr>
            <w:r w:rsidRPr="00C00D5E">
              <w:t>10</w:t>
            </w:r>
          </w:p>
        </w:tc>
      </w:tr>
    </w:tbl>
    <w:p w14:paraId="3B79D460" w14:textId="77777777" w:rsidR="00D046BE" w:rsidRDefault="00D046BE" w:rsidP="00D046BE">
      <w:pPr>
        <w:spacing w:after="0" w:line="240" w:lineRule="auto"/>
        <w:jc w:val="both"/>
        <w:rPr>
          <w:szCs w:val="24"/>
        </w:rPr>
        <w:sectPr w:rsidR="00D046BE" w:rsidSect="00D046BE">
          <w:type w:val="continuous"/>
          <w:pgSz w:w="11906" w:h="16838" w:code="9"/>
          <w:pgMar w:top="1134" w:right="707" w:bottom="1560" w:left="709" w:header="0" w:footer="222" w:gutter="0"/>
          <w:cols w:space="708"/>
          <w:docGrid w:linePitch="360"/>
        </w:sectPr>
      </w:pPr>
    </w:p>
    <w:p w14:paraId="4BD54595" w14:textId="77777777" w:rsidR="00C67F31" w:rsidRPr="00C00D5E" w:rsidRDefault="00D74F25" w:rsidP="00D046BE">
      <w:pPr>
        <w:pStyle w:val="Heading2"/>
      </w:pPr>
      <w:r w:rsidRPr="007040FD">
        <w:t>Recovery of Funds</w:t>
      </w:r>
    </w:p>
    <w:p w14:paraId="4FDB55BF" w14:textId="77777777" w:rsidR="00C67F31" w:rsidRDefault="00D74F25" w:rsidP="007654FF">
      <w:pPr>
        <w:spacing w:after="0" w:line="240" w:lineRule="auto"/>
      </w:pPr>
      <w:r w:rsidRPr="007040FD">
        <w:t xml:space="preserve">The Queensland Government reserves the right to recover any or all grant funds in the following circumstances: </w:t>
      </w:r>
    </w:p>
    <w:p w14:paraId="2C755A74" w14:textId="77777777" w:rsidR="00C67F31" w:rsidRPr="007040FD" w:rsidRDefault="00D74F25" w:rsidP="007654FF">
      <w:pPr>
        <w:spacing w:before="240" w:after="0" w:line="240" w:lineRule="auto"/>
        <w:rPr>
          <w:b/>
          <w:bCs/>
        </w:rPr>
      </w:pPr>
      <w:r w:rsidRPr="007040FD">
        <w:rPr>
          <w:b/>
          <w:bCs/>
        </w:rPr>
        <w:t xml:space="preserve">Unspent Funds </w:t>
      </w:r>
    </w:p>
    <w:p w14:paraId="2D1BD45B" w14:textId="77777777" w:rsidR="00C67F31" w:rsidRDefault="00D74F25" w:rsidP="007654FF">
      <w:pPr>
        <w:spacing w:after="0" w:line="240" w:lineRule="auto"/>
      </w:pPr>
      <w:r w:rsidRPr="007040FD">
        <w:t xml:space="preserve">Any grant funding that is not expended by the recipient for the approved </w:t>
      </w:r>
      <w:proofErr w:type="gramStart"/>
      <w:r w:rsidRPr="007040FD">
        <w:t>purpose/s</w:t>
      </w:r>
      <w:proofErr w:type="gramEnd"/>
      <w:r w:rsidRPr="007040FD">
        <w:t xml:space="preserve"> must be returned to the Queensland Government within 30 days of the unspent funds being identified through the acquittal process. </w:t>
      </w:r>
    </w:p>
    <w:p w14:paraId="1FAE7416" w14:textId="77777777" w:rsidR="009D6711" w:rsidRDefault="009D6711" w:rsidP="007654FF">
      <w:pPr>
        <w:spacing w:before="240" w:after="0" w:line="240" w:lineRule="auto"/>
        <w:rPr>
          <w:b/>
          <w:bCs/>
        </w:rPr>
      </w:pPr>
    </w:p>
    <w:p w14:paraId="02A83F58" w14:textId="77777777" w:rsidR="00C67F31" w:rsidRDefault="00D74F25" w:rsidP="007654FF">
      <w:pPr>
        <w:spacing w:before="240" w:after="0" w:line="240" w:lineRule="auto"/>
      </w:pPr>
      <w:r w:rsidRPr="007040FD">
        <w:rPr>
          <w:b/>
          <w:bCs/>
        </w:rPr>
        <w:t>Misuse of Funds</w:t>
      </w:r>
      <w:r w:rsidRPr="007040FD">
        <w:t xml:space="preserve"> </w:t>
      </w:r>
    </w:p>
    <w:p w14:paraId="0B92D429" w14:textId="77777777" w:rsidR="00C67F31" w:rsidRDefault="00D74F25" w:rsidP="007654FF">
      <w:pPr>
        <w:spacing w:after="0" w:line="240" w:lineRule="auto"/>
      </w:pPr>
      <w:r w:rsidRPr="007040FD">
        <w:t>If grant funds are found to have been used for purposes other than those approved, the Queensland Government will recover the full amount of the grant. This includes any funds that were:</w:t>
      </w:r>
    </w:p>
    <w:p w14:paraId="1AE1DD6D" w14:textId="77777777" w:rsidR="00C67F31" w:rsidRDefault="00D74F25" w:rsidP="007654FF">
      <w:pPr>
        <w:pStyle w:val="ListParagraph"/>
        <w:numPr>
          <w:ilvl w:val="0"/>
          <w:numId w:val="12"/>
        </w:numPr>
        <w:tabs>
          <w:tab w:val="clear" w:pos="2835"/>
        </w:tabs>
        <w:spacing w:after="0" w:line="240" w:lineRule="auto"/>
        <w:contextualSpacing/>
      </w:pPr>
      <w:r w:rsidRPr="007040FD">
        <w:t xml:space="preserve">Spent on ineligible activities or expenses. </w:t>
      </w:r>
    </w:p>
    <w:p w14:paraId="65F84F5D" w14:textId="77777777" w:rsidR="00C67F31" w:rsidRDefault="00D74F25" w:rsidP="007654FF">
      <w:pPr>
        <w:pStyle w:val="ListParagraph"/>
        <w:numPr>
          <w:ilvl w:val="0"/>
          <w:numId w:val="12"/>
        </w:numPr>
        <w:tabs>
          <w:tab w:val="clear" w:pos="2835"/>
        </w:tabs>
        <w:spacing w:after="0" w:line="240" w:lineRule="auto"/>
        <w:contextualSpacing/>
      </w:pPr>
      <w:r w:rsidRPr="007040FD">
        <w:t xml:space="preserve">Used in breach of the funding conditions. </w:t>
      </w:r>
    </w:p>
    <w:p w14:paraId="02099D42" w14:textId="77777777" w:rsidR="00C67F31" w:rsidRPr="007040FD" w:rsidRDefault="00D74F25" w:rsidP="007654FF">
      <w:pPr>
        <w:spacing w:before="240" w:after="0" w:line="240" w:lineRule="auto"/>
        <w:rPr>
          <w:b/>
          <w:bCs/>
        </w:rPr>
      </w:pPr>
      <w:r w:rsidRPr="007040FD">
        <w:rPr>
          <w:b/>
          <w:bCs/>
        </w:rPr>
        <w:t>Non-Compliance</w:t>
      </w:r>
    </w:p>
    <w:p w14:paraId="45E2AF83" w14:textId="77777777" w:rsidR="00C67F31" w:rsidRDefault="00D74F25" w:rsidP="007654FF">
      <w:pPr>
        <w:spacing w:after="0" w:line="240" w:lineRule="auto"/>
      </w:pPr>
      <w:r w:rsidRPr="007040FD">
        <w:t xml:space="preserve">Failure to comply with the reporting, acquittal, or other obligations outlined in these guidelines will </w:t>
      </w:r>
      <w:r w:rsidRPr="007040FD">
        <w:lastRenderedPageBreak/>
        <w:t xml:space="preserve">result in the Queensland Government seeking repayment of the grant in part </w:t>
      </w:r>
      <w:proofErr w:type="gramStart"/>
      <w:r w:rsidRPr="007040FD">
        <w:t>or in</w:t>
      </w:r>
      <w:proofErr w:type="gramEnd"/>
      <w:r w:rsidRPr="007040FD">
        <w:t xml:space="preserve"> full. </w:t>
      </w:r>
    </w:p>
    <w:p w14:paraId="247419D3" w14:textId="77777777" w:rsidR="009D6711" w:rsidRDefault="009D6711" w:rsidP="007654FF">
      <w:pPr>
        <w:spacing w:before="240" w:after="0" w:line="240" w:lineRule="auto"/>
        <w:rPr>
          <w:b/>
          <w:bCs/>
        </w:rPr>
      </w:pPr>
    </w:p>
    <w:p w14:paraId="150F66FB" w14:textId="77777777" w:rsidR="00C67F31" w:rsidRDefault="00D74F25" w:rsidP="007654FF">
      <w:pPr>
        <w:spacing w:before="240" w:after="0" w:line="240" w:lineRule="auto"/>
      </w:pPr>
      <w:r w:rsidRPr="007040FD">
        <w:rPr>
          <w:b/>
          <w:bCs/>
        </w:rPr>
        <w:t>Repayment Process</w:t>
      </w:r>
      <w:r w:rsidRPr="007040FD">
        <w:t xml:space="preserve"> </w:t>
      </w:r>
    </w:p>
    <w:p w14:paraId="0AEE6EEC" w14:textId="77777777" w:rsidR="00C67F31" w:rsidRDefault="00D74F25" w:rsidP="007654FF">
      <w:pPr>
        <w:spacing w:after="0" w:line="240" w:lineRule="auto"/>
      </w:pPr>
      <w:r w:rsidRPr="007040FD">
        <w:t xml:space="preserve">Recipients required to return or repay funds will be notified in writing, including details of the amount to be repaid and the repayment process. All repayments must be made within 30 days of </w:t>
      </w:r>
      <w:r w:rsidR="00F629EC">
        <w:t>notice issue date</w:t>
      </w:r>
      <w:r w:rsidRPr="007040FD">
        <w:t>.</w:t>
      </w:r>
    </w:p>
    <w:p w14:paraId="78220F00" w14:textId="77777777" w:rsidR="00C67F31" w:rsidRPr="00C00D5E" w:rsidRDefault="00D74F25" w:rsidP="00D046BE">
      <w:pPr>
        <w:pStyle w:val="Heading2"/>
      </w:pPr>
      <w:r w:rsidRPr="007040FD">
        <w:t>Human Rights Consideration</w:t>
      </w:r>
    </w:p>
    <w:p w14:paraId="4DA666D7" w14:textId="77777777" w:rsidR="00C67F31" w:rsidRDefault="00D74F25" w:rsidP="007654FF">
      <w:pPr>
        <w:spacing w:after="0" w:line="240" w:lineRule="auto"/>
      </w:pPr>
      <w:r w:rsidRPr="007040FD">
        <w:t xml:space="preserve">The intention of the </w:t>
      </w:r>
      <w:r w:rsidRPr="00082FE2">
        <w:rPr>
          <w:i/>
          <w:iCs/>
        </w:rPr>
        <w:t>Human Rights Act 2019</w:t>
      </w:r>
      <w:r w:rsidRPr="007040FD">
        <w:t xml:space="preserve"> (the Act) is to ensure every person in Queensland is treated equally and without discrimination. </w:t>
      </w:r>
    </w:p>
    <w:p w14:paraId="03C4190E" w14:textId="77777777" w:rsidR="00C776DA" w:rsidRDefault="00C776DA" w:rsidP="007654FF">
      <w:pPr>
        <w:spacing w:after="0" w:line="240" w:lineRule="auto"/>
      </w:pPr>
    </w:p>
    <w:p w14:paraId="1501E47D" w14:textId="77777777" w:rsidR="00C67F31" w:rsidRDefault="00D74F25" w:rsidP="007654FF">
      <w:pPr>
        <w:spacing w:after="0" w:line="240" w:lineRule="auto"/>
      </w:pPr>
      <w:r w:rsidRPr="007040FD">
        <w:t xml:space="preserve">Although the eligibility criteria under the </w:t>
      </w:r>
      <w:r>
        <w:t xml:space="preserve">Celebrating Reconciliation </w:t>
      </w:r>
      <w:r w:rsidRPr="007040FD">
        <w:t xml:space="preserve">Grants is not extended to all Queenslanders and therefore may limit the rights of those that are unable to access it, this is described as reasonable and justifiable under the Act (Section 13(2)) as the intent of the </w:t>
      </w:r>
      <w:r>
        <w:t>Celebrating Reconciliation</w:t>
      </w:r>
      <w:r w:rsidRPr="007040FD">
        <w:t xml:space="preserve"> Grants aims to achieve the purpose of the Act</w:t>
      </w:r>
      <w:r w:rsidR="00151888">
        <w:t>,</w:t>
      </w:r>
      <w:r w:rsidRPr="007040FD">
        <w:t xml:space="preserve"> by supporting and encouraging equitable participation </w:t>
      </w:r>
      <w:r>
        <w:t>in celebrating Reconciliation Week</w:t>
      </w:r>
      <w:r w:rsidRPr="007040FD">
        <w:t xml:space="preserve">. </w:t>
      </w:r>
    </w:p>
    <w:p w14:paraId="04A73DF2" w14:textId="77777777" w:rsidR="00C67F31" w:rsidRPr="00C00D5E" w:rsidRDefault="00D74F25" w:rsidP="00D046BE">
      <w:pPr>
        <w:pStyle w:val="Heading2"/>
      </w:pPr>
      <w:r w:rsidRPr="007040FD">
        <w:t>Need help in your language?</w:t>
      </w:r>
    </w:p>
    <w:p w14:paraId="1F0018AD" w14:textId="77777777" w:rsidR="00C67F31" w:rsidRDefault="00D74F25" w:rsidP="007654FF">
      <w:pPr>
        <w:spacing w:after="0" w:line="240" w:lineRule="auto"/>
      </w:pPr>
      <w:r w:rsidRPr="007040FD">
        <w:t xml:space="preserve">Call 1800 512 451 and ask for an interpreter. </w:t>
      </w:r>
    </w:p>
    <w:p w14:paraId="61BF5B52" w14:textId="77777777" w:rsidR="00C776DA" w:rsidRDefault="00C776DA" w:rsidP="007654FF">
      <w:pPr>
        <w:spacing w:after="0" w:line="240" w:lineRule="auto"/>
      </w:pPr>
    </w:p>
    <w:p w14:paraId="051F34A8" w14:textId="77777777" w:rsidR="003D1E9C" w:rsidRDefault="00D74F25" w:rsidP="007654FF">
      <w:pPr>
        <w:spacing w:after="0" w:line="240" w:lineRule="auto"/>
      </w:pPr>
      <w:r w:rsidRPr="007040FD">
        <w:t xml:space="preserve">If you require further assistance, please contact the Department of </w:t>
      </w:r>
      <w:r>
        <w:t>Women, Aboriginal and Torres Strait Islander partnerships and Multiculturalism</w:t>
      </w:r>
      <w:r w:rsidRPr="007040FD">
        <w:t xml:space="preserve"> via email at: </w:t>
      </w:r>
      <w:hyperlink r:id="rId21" w:history="1">
        <w:r w:rsidRPr="0062552C">
          <w:rPr>
            <w:rStyle w:val="Hyperlink"/>
            <w:rFonts w:eastAsiaTheme="majorEastAsia"/>
            <w:lang w:val="en-AU" w:eastAsia="en-US"/>
          </w:rPr>
          <w:t>crg@dwatsipm.qld.gov.au</w:t>
        </w:r>
      </w:hyperlink>
      <w:r w:rsidRPr="007040FD">
        <w:t xml:space="preserve">. </w:t>
      </w:r>
    </w:p>
    <w:p w14:paraId="1933B8AC" w14:textId="77777777" w:rsidR="00151888" w:rsidRPr="00C00D5E" w:rsidRDefault="00D74F25" w:rsidP="00151888">
      <w:pPr>
        <w:pStyle w:val="Heading2"/>
      </w:pPr>
      <w:r w:rsidRPr="00C00D5E">
        <w:t>Contact us</w:t>
      </w:r>
    </w:p>
    <w:p w14:paraId="70405554" w14:textId="77777777" w:rsidR="00151888" w:rsidRPr="00082FE2" w:rsidRDefault="00D74F25" w:rsidP="00082FE2">
      <w:pPr>
        <w:spacing w:after="120" w:line="240" w:lineRule="auto"/>
        <w:rPr>
          <w:rFonts w:cs="Times New Roman"/>
          <w:lang w:val="en-AU"/>
        </w:rPr>
      </w:pPr>
      <w:r w:rsidRPr="00C00D5E">
        <w:rPr>
          <w:rFonts w:cs="Times New Roman"/>
          <w:lang w:val="en-AU"/>
        </w:rPr>
        <w:t xml:space="preserve">For more information about the grants, including the guidelines, terms and conditions and how to apply, please contact your </w:t>
      </w:r>
      <w:hyperlink r:id="rId22" w:history="1">
        <w:r w:rsidRPr="00C00D5E">
          <w:rPr>
            <w:rStyle w:val="Hyperlink"/>
            <w:rFonts w:eastAsiaTheme="majorEastAsia"/>
          </w:rPr>
          <w:t>local regional office</w:t>
        </w:r>
      </w:hyperlink>
      <w:r w:rsidRPr="00C00D5E">
        <w:t xml:space="preserve"> </w:t>
      </w:r>
      <w:r w:rsidRPr="00C00D5E">
        <w:rPr>
          <w:rFonts w:cs="Times New Roman"/>
          <w:lang w:val="en-AU"/>
        </w:rPr>
        <w:t xml:space="preserve">or the Culture and Reconciliation team on email </w:t>
      </w:r>
      <w:hyperlink r:id="rId23" w:history="1">
        <w:r w:rsidRPr="00634728">
          <w:rPr>
            <w:rStyle w:val="Hyperlink"/>
            <w:rFonts w:eastAsiaTheme="majorEastAsia" w:cs="Times New Roman"/>
            <w:lang w:val="en-AU"/>
          </w:rPr>
          <w:t>crg@dwatsipm.qld.gov.au</w:t>
        </w:r>
      </w:hyperlink>
      <w:r w:rsidRPr="00C00D5E">
        <w:rPr>
          <w:rFonts w:cs="Times New Roman"/>
          <w:lang w:val="en-AU"/>
        </w:rPr>
        <w:t xml:space="preserve"> </w:t>
      </w:r>
    </w:p>
    <w:sectPr w:rsidR="00151888" w:rsidRPr="00082FE2" w:rsidSect="00367608">
      <w:type w:val="continuous"/>
      <w:pgSz w:w="11906" w:h="16838" w:code="9"/>
      <w:pgMar w:top="1134" w:right="707" w:bottom="1560" w:left="709" w:header="0" w:footer="222"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82BE8" w14:textId="77777777" w:rsidR="00DF1201" w:rsidRDefault="00DF1201">
      <w:pPr>
        <w:spacing w:after="0" w:line="240" w:lineRule="auto"/>
      </w:pPr>
      <w:r>
        <w:separator/>
      </w:r>
    </w:p>
  </w:endnote>
  <w:endnote w:type="continuationSeparator" w:id="0">
    <w:p w14:paraId="6DD19EE5" w14:textId="77777777" w:rsidR="00DF1201" w:rsidRDefault="00DF1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charset w:val="00"/>
    <w:family w:val="roman"/>
    <w:pitch w:val="variable"/>
    <w:sig w:usb0="E00002FF" w:usb1="500078FF" w:usb2="00000029" w:usb3="00000000" w:csb0="0000019F" w:csb1="00000000"/>
  </w:font>
  <w:font w:name="Noto Sans">
    <w:panose1 w:val="020B0502040504020204"/>
    <w:charset w:val="00"/>
    <w:family w:val="swiss"/>
    <w:pitch w:val="variable"/>
    <w:sig w:usb0="E00082FF" w:usb1="400078F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0120" w14:textId="77777777" w:rsidR="00664A9F" w:rsidRDefault="00D74F25">
    <w:pPr>
      <w:pStyle w:val="Footer"/>
    </w:pPr>
    <w:r>
      <w:rPr>
        <w:noProof/>
      </w:rPr>
      <w:drawing>
        <wp:anchor distT="0" distB="0" distL="114300" distR="114300" simplePos="0" relativeHeight="251662336" behindDoc="1" locked="0" layoutInCell="1" allowOverlap="1" wp14:anchorId="04B44781" wp14:editId="1327D3DE">
          <wp:simplePos x="0" y="0"/>
          <wp:positionH relativeFrom="column">
            <wp:posOffset>3481705</wp:posOffset>
          </wp:positionH>
          <wp:positionV relativeFrom="paragraph">
            <wp:posOffset>289611</wp:posOffset>
          </wp:positionV>
          <wp:extent cx="3096895" cy="520065"/>
          <wp:effectExtent l="0" t="0" r="8255" b="0"/>
          <wp:wrapNone/>
          <wp:docPr id="1943378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876367"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96895" cy="520065"/>
                  </a:xfrm>
                  <a:prstGeom prst="rect">
                    <a:avLst/>
                  </a:prstGeom>
                  <a:noFill/>
                  <a:ln>
                    <a:noFill/>
                  </a:ln>
                </pic:spPr>
              </pic:pic>
            </a:graphicData>
          </a:graphic>
        </wp:anchor>
      </w:drawing>
    </w:r>
    <w:r w:rsidR="00B9593D">
      <w:rPr>
        <w:noProof/>
      </w:rPr>
      <mc:AlternateContent>
        <mc:Choice Requires="wps">
          <w:drawing>
            <wp:anchor distT="0" distB="0" distL="114300" distR="114300" simplePos="0" relativeHeight="251660288" behindDoc="1" locked="1" layoutInCell="1" allowOverlap="1" wp14:anchorId="79F7A15E" wp14:editId="2BF69C6B">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rotWithShape="1">
                        <a:gsLst>
                          <a:gs pos="0">
                            <a:schemeClr val="tx1"/>
                          </a:gs>
                          <a:gs pos="100000">
                            <a:srgbClr val="002346"/>
                          </a:gs>
                        </a:gsLst>
                        <a:path path="circle">
                          <a:fillToRect l="50000" t="50000" r="50000" b="50000"/>
                        </a:path>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50" style="width:596.7pt;height:68.3pt;margin-top:774.5pt;margin-left:0;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5168" fillcolor="#005eb8" stroked="f" strokeweight="1pt">
              <v:fill color2="#002346" rotate="t" focusposition="0.5,0.5" focussize="" focus="100%" type="gradientRadial"/>
              <w10:anchorlock/>
            </v:rect>
          </w:pict>
        </mc:Fallback>
      </mc:AlternateContent>
    </w:r>
  </w:p>
  <w:p w14:paraId="295623BC" w14:textId="77777777" w:rsidR="00664A9F" w:rsidRDefault="00664A9F">
    <w:pPr>
      <w:pStyle w:val="Footer"/>
    </w:pPr>
  </w:p>
  <w:p w14:paraId="68A5A77B"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AD8EE" w14:textId="77777777" w:rsidR="00DF1201" w:rsidRDefault="00DF1201" w:rsidP="00190C24">
      <w:r>
        <w:separator/>
      </w:r>
    </w:p>
  </w:footnote>
  <w:footnote w:type="continuationSeparator" w:id="0">
    <w:p w14:paraId="502D8224" w14:textId="77777777" w:rsidR="00DF1201" w:rsidRDefault="00DF1201" w:rsidP="00190C24">
      <w:r>
        <w:continuationSeparator/>
      </w:r>
    </w:p>
  </w:footnote>
  <w:footnote w:id="1">
    <w:p w14:paraId="2EDB85B8" w14:textId="77777777" w:rsidR="00C67F31" w:rsidRPr="006F7E7C" w:rsidRDefault="00D74F25" w:rsidP="00C67F31">
      <w:pPr>
        <w:pStyle w:val="ListBullet"/>
        <w:numPr>
          <w:ilvl w:val="0"/>
          <w:numId w:val="0"/>
        </w:numPr>
        <w:jc w:val="both"/>
        <w:rPr>
          <w:sz w:val="16"/>
          <w:szCs w:val="16"/>
        </w:rPr>
      </w:pPr>
      <w:r w:rsidRPr="006F7E7C">
        <w:rPr>
          <w:rStyle w:val="FootnoteReference"/>
          <w:sz w:val="16"/>
          <w:szCs w:val="16"/>
        </w:rPr>
        <w:footnoteRef/>
      </w:r>
      <w:r w:rsidRPr="006F7E7C">
        <w:rPr>
          <w:sz w:val="16"/>
          <w:szCs w:val="16"/>
        </w:rPr>
        <w:t xml:space="preserve"> A “company limited by guarantee” is a specialised form of public company designed for non-profit organisations. In Australia companies limited by guarantee are subject to the Corporations Act 2001 (Cth) and administered to by the Australian Securities and Investments Commission (ASIC).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288B" w14:textId="77777777" w:rsidR="00273E87" w:rsidRDefault="00273E87" w:rsidP="00555C3B">
    <w:pPr>
      <w:pStyle w:val="Header"/>
    </w:pPr>
  </w:p>
  <w:p w14:paraId="001D4BC5" w14:textId="77777777" w:rsidR="00555C3B" w:rsidRPr="00555C3B" w:rsidRDefault="00D74F25" w:rsidP="00555C3B">
    <w:pPr>
      <w:pStyle w:val="Header"/>
      <w:jc w:val="right"/>
    </w:pPr>
    <w:r w:rsidRPr="000E1223">
      <w:rPr>
        <w:noProof/>
        <w:color w:val="005EB8" w:themeColor="text1"/>
        <w:sz w:val="22"/>
        <w:szCs w:val="32"/>
      </w:rPr>
      <mc:AlternateContent>
        <mc:Choice Requires="wps">
          <w:drawing>
            <wp:anchor distT="0" distB="0" distL="114300" distR="114300" simplePos="0" relativeHeight="251658240" behindDoc="0" locked="0" layoutInCell="1" allowOverlap="1" wp14:anchorId="2B0A3A72" wp14:editId="42710407">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2049" style="mso-height-percent:0;mso-height-relative:margin;mso-width-percent:0;mso-width-relative:margin;mso-wrap-distance-bottom:0;mso-wrap-distance-left:9pt;mso-wrap-distance-right:9pt;mso-wrap-distance-top:0;mso-wrap-style:square;position:absolute;visibility:visible;z-index:251659264" from="-46pt,21.1pt" to="1144pt,21.1pt" strokecolor="#005eb8" strokeweight="1pt">
              <v:stroke joinstyle="miter"/>
            </v:line>
          </w:pict>
        </mc:Fallback>
      </mc:AlternateContent>
    </w:r>
    <w:r w:rsidRPr="000E1223">
      <w:rPr>
        <w:color w:val="005EB8" w:themeColor="text1"/>
        <w:sz w:val="22"/>
        <w:szCs w:val="32"/>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59F4" w14:textId="77777777" w:rsidR="0014521E" w:rsidRDefault="00D74F25"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F7C7A4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1C646E4"/>
    <w:lvl w:ilvl="0">
      <w:start w:val="1"/>
      <w:numFmt w:val="bullet"/>
      <w:pStyle w:val="ListBullet"/>
      <w:lvlText w:val=""/>
      <w:lvlJc w:val="left"/>
      <w:pPr>
        <w:tabs>
          <w:tab w:val="num" w:pos="360"/>
        </w:tabs>
        <w:ind w:left="360" w:hanging="360"/>
      </w:pPr>
      <w:rPr>
        <w:rFonts w:ascii="Symbol" w:hAnsi="Symbol" w:hint="default"/>
        <w:color w:val="7F7F7F"/>
      </w:rPr>
    </w:lvl>
  </w:abstractNum>
  <w:abstractNum w:abstractNumId="2" w15:restartNumberingAfterBreak="0">
    <w:nsid w:val="01605C98"/>
    <w:multiLevelType w:val="hybridMultilevel"/>
    <w:tmpl w:val="E0FCBF26"/>
    <w:lvl w:ilvl="0" w:tplc="83D271B6">
      <w:start w:val="1"/>
      <w:numFmt w:val="decimal"/>
      <w:lvlText w:val="%1."/>
      <w:lvlJc w:val="left"/>
      <w:pPr>
        <w:ind w:left="720" w:hanging="360"/>
      </w:pPr>
    </w:lvl>
    <w:lvl w:ilvl="1" w:tplc="E6C26198" w:tentative="1">
      <w:start w:val="1"/>
      <w:numFmt w:val="lowerLetter"/>
      <w:lvlText w:val="%2."/>
      <w:lvlJc w:val="left"/>
      <w:pPr>
        <w:ind w:left="1440" w:hanging="360"/>
      </w:pPr>
    </w:lvl>
    <w:lvl w:ilvl="2" w:tplc="920E9E8C" w:tentative="1">
      <w:start w:val="1"/>
      <w:numFmt w:val="lowerRoman"/>
      <w:lvlText w:val="%3."/>
      <w:lvlJc w:val="right"/>
      <w:pPr>
        <w:ind w:left="2160" w:hanging="180"/>
      </w:pPr>
    </w:lvl>
    <w:lvl w:ilvl="3" w:tplc="C6EA96BC" w:tentative="1">
      <w:start w:val="1"/>
      <w:numFmt w:val="decimal"/>
      <w:lvlText w:val="%4."/>
      <w:lvlJc w:val="left"/>
      <w:pPr>
        <w:ind w:left="2880" w:hanging="360"/>
      </w:pPr>
    </w:lvl>
    <w:lvl w:ilvl="4" w:tplc="540A7ADC" w:tentative="1">
      <w:start w:val="1"/>
      <w:numFmt w:val="lowerLetter"/>
      <w:lvlText w:val="%5."/>
      <w:lvlJc w:val="left"/>
      <w:pPr>
        <w:ind w:left="3600" w:hanging="360"/>
      </w:pPr>
    </w:lvl>
    <w:lvl w:ilvl="5" w:tplc="CA0E31B8" w:tentative="1">
      <w:start w:val="1"/>
      <w:numFmt w:val="lowerRoman"/>
      <w:lvlText w:val="%6."/>
      <w:lvlJc w:val="right"/>
      <w:pPr>
        <w:ind w:left="4320" w:hanging="180"/>
      </w:pPr>
    </w:lvl>
    <w:lvl w:ilvl="6" w:tplc="DE0ABEC6" w:tentative="1">
      <w:start w:val="1"/>
      <w:numFmt w:val="decimal"/>
      <w:lvlText w:val="%7."/>
      <w:lvlJc w:val="left"/>
      <w:pPr>
        <w:ind w:left="5040" w:hanging="360"/>
      </w:pPr>
    </w:lvl>
    <w:lvl w:ilvl="7" w:tplc="53706944" w:tentative="1">
      <w:start w:val="1"/>
      <w:numFmt w:val="lowerLetter"/>
      <w:lvlText w:val="%8."/>
      <w:lvlJc w:val="left"/>
      <w:pPr>
        <w:ind w:left="5760" w:hanging="360"/>
      </w:pPr>
    </w:lvl>
    <w:lvl w:ilvl="8" w:tplc="E10E511E" w:tentative="1">
      <w:start w:val="1"/>
      <w:numFmt w:val="lowerRoman"/>
      <w:lvlText w:val="%9."/>
      <w:lvlJc w:val="right"/>
      <w:pPr>
        <w:ind w:left="6480" w:hanging="180"/>
      </w:pPr>
    </w:lvl>
  </w:abstractNum>
  <w:abstractNum w:abstractNumId="3" w15:restartNumberingAfterBreak="0">
    <w:nsid w:val="070046D6"/>
    <w:multiLevelType w:val="hybridMultilevel"/>
    <w:tmpl w:val="8ED8738A"/>
    <w:lvl w:ilvl="0" w:tplc="CA8E53CC">
      <w:start w:val="1"/>
      <w:numFmt w:val="bullet"/>
      <w:lvlText w:val=""/>
      <w:lvlJc w:val="left"/>
      <w:pPr>
        <w:ind w:left="1440" w:hanging="360"/>
      </w:pPr>
      <w:rPr>
        <w:rFonts w:ascii="Symbol" w:hAnsi="Symbol" w:hint="default"/>
      </w:rPr>
    </w:lvl>
    <w:lvl w:ilvl="1" w:tplc="27B6FB8E" w:tentative="1">
      <w:start w:val="1"/>
      <w:numFmt w:val="bullet"/>
      <w:lvlText w:val="o"/>
      <w:lvlJc w:val="left"/>
      <w:pPr>
        <w:ind w:left="2160" w:hanging="360"/>
      </w:pPr>
      <w:rPr>
        <w:rFonts w:ascii="Courier New" w:hAnsi="Courier New" w:cs="Courier New" w:hint="default"/>
      </w:rPr>
    </w:lvl>
    <w:lvl w:ilvl="2" w:tplc="1B5A9546" w:tentative="1">
      <w:start w:val="1"/>
      <w:numFmt w:val="bullet"/>
      <w:lvlText w:val=""/>
      <w:lvlJc w:val="left"/>
      <w:pPr>
        <w:ind w:left="2880" w:hanging="360"/>
      </w:pPr>
      <w:rPr>
        <w:rFonts w:ascii="Wingdings" w:hAnsi="Wingdings" w:hint="default"/>
      </w:rPr>
    </w:lvl>
    <w:lvl w:ilvl="3" w:tplc="3A424C28" w:tentative="1">
      <w:start w:val="1"/>
      <w:numFmt w:val="bullet"/>
      <w:lvlText w:val=""/>
      <w:lvlJc w:val="left"/>
      <w:pPr>
        <w:ind w:left="3600" w:hanging="360"/>
      </w:pPr>
      <w:rPr>
        <w:rFonts w:ascii="Symbol" w:hAnsi="Symbol" w:hint="default"/>
      </w:rPr>
    </w:lvl>
    <w:lvl w:ilvl="4" w:tplc="EA08F948" w:tentative="1">
      <w:start w:val="1"/>
      <w:numFmt w:val="bullet"/>
      <w:lvlText w:val="o"/>
      <w:lvlJc w:val="left"/>
      <w:pPr>
        <w:ind w:left="4320" w:hanging="360"/>
      </w:pPr>
      <w:rPr>
        <w:rFonts w:ascii="Courier New" w:hAnsi="Courier New" w:cs="Courier New" w:hint="default"/>
      </w:rPr>
    </w:lvl>
    <w:lvl w:ilvl="5" w:tplc="EE328D5E" w:tentative="1">
      <w:start w:val="1"/>
      <w:numFmt w:val="bullet"/>
      <w:lvlText w:val=""/>
      <w:lvlJc w:val="left"/>
      <w:pPr>
        <w:ind w:left="5040" w:hanging="360"/>
      </w:pPr>
      <w:rPr>
        <w:rFonts w:ascii="Wingdings" w:hAnsi="Wingdings" w:hint="default"/>
      </w:rPr>
    </w:lvl>
    <w:lvl w:ilvl="6" w:tplc="D0248588" w:tentative="1">
      <w:start w:val="1"/>
      <w:numFmt w:val="bullet"/>
      <w:lvlText w:val=""/>
      <w:lvlJc w:val="left"/>
      <w:pPr>
        <w:ind w:left="5760" w:hanging="360"/>
      </w:pPr>
      <w:rPr>
        <w:rFonts w:ascii="Symbol" w:hAnsi="Symbol" w:hint="default"/>
      </w:rPr>
    </w:lvl>
    <w:lvl w:ilvl="7" w:tplc="43BC09F0" w:tentative="1">
      <w:start w:val="1"/>
      <w:numFmt w:val="bullet"/>
      <w:lvlText w:val="o"/>
      <w:lvlJc w:val="left"/>
      <w:pPr>
        <w:ind w:left="6480" w:hanging="360"/>
      </w:pPr>
      <w:rPr>
        <w:rFonts w:ascii="Courier New" w:hAnsi="Courier New" w:cs="Courier New" w:hint="default"/>
      </w:rPr>
    </w:lvl>
    <w:lvl w:ilvl="8" w:tplc="7A40477A" w:tentative="1">
      <w:start w:val="1"/>
      <w:numFmt w:val="bullet"/>
      <w:lvlText w:val=""/>
      <w:lvlJc w:val="left"/>
      <w:pPr>
        <w:ind w:left="7200" w:hanging="360"/>
      </w:pPr>
      <w:rPr>
        <w:rFonts w:ascii="Wingdings" w:hAnsi="Wingdings" w:hint="default"/>
      </w:rPr>
    </w:lvl>
  </w:abstractNum>
  <w:abstractNum w:abstractNumId="4" w15:restartNumberingAfterBreak="0">
    <w:nsid w:val="24266F60"/>
    <w:multiLevelType w:val="hybridMultilevel"/>
    <w:tmpl w:val="E4D09240"/>
    <w:lvl w:ilvl="0" w:tplc="233C3A3C">
      <w:start w:val="1"/>
      <w:numFmt w:val="bullet"/>
      <w:lvlText w:val=""/>
      <w:lvlJc w:val="left"/>
      <w:pPr>
        <w:ind w:left="360" w:hanging="360"/>
      </w:pPr>
      <w:rPr>
        <w:rFonts w:ascii="Symbol" w:hAnsi="Symbol" w:hint="default"/>
        <w:color w:val="09424E"/>
      </w:rPr>
    </w:lvl>
    <w:lvl w:ilvl="1" w:tplc="57D05AD2" w:tentative="1">
      <w:start w:val="1"/>
      <w:numFmt w:val="bullet"/>
      <w:lvlText w:val="o"/>
      <w:lvlJc w:val="left"/>
      <w:pPr>
        <w:ind w:left="1440" w:hanging="360"/>
      </w:pPr>
      <w:rPr>
        <w:rFonts w:ascii="Courier New" w:hAnsi="Courier New" w:cs="Courier New" w:hint="default"/>
      </w:rPr>
    </w:lvl>
    <w:lvl w:ilvl="2" w:tplc="A662ADE2" w:tentative="1">
      <w:start w:val="1"/>
      <w:numFmt w:val="bullet"/>
      <w:lvlText w:val=""/>
      <w:lvlJc w:val="left"/>
      <w:pPr>
        <w:ind w:left="2160" w:hanging="360"/>
      </w:pPr>
      <w:rPr>
        <w:rFonts w:ascii="Wingdings" w:hAnsi="Wingdings" w:hint="default"/>
      </w:rPr>
    </w:lvl>
    <w:lvl w:ilvl="3" w:tplc="63E6F930" w:tentative="1">
      <w:start w:val="1"/>
      <w:numFmt w:val="bullet"/>
      <w:lvlText w:val=""/>
      <w:lvlJc w:val="left"/>
      <w:pPr>
        <w:ind w:left="2880" w:hanging="360"/>
      </w:pPr>
      <w:rPr>
        <w:rFonts w:ascii="Symbol" w:hAnsi="Symbol" w:hint="default"/>
      </w:rPr>
    </w:lvl>
    <w:lvl w:ilvl="4" w:tplc="3F74BDDA" w:tentative="1">
      <w:start w:val="1"/>
      <w:numFmt w:val="bullet"/>
      <w:lvlText w:val="o"/>
      <w:lvlJc w:val="left"/>
      <w:pPr>
        <w:ind w:left="3600" w:hanging="360"/>
      </w:pPr>
      <w:rPr>
        <w:rFonts w:ascii="Courier New" w:hAnsi="Courier New" w:cs="Courier New" w:hint="default"/>
      </w:rPr>
    </w:lvl>
    <w:lvl w:ilvl="5" w:tplc="09DA458C" w:tentative="1">
      <w:start w:val="1"/>
      <w:numFmt w:val="bullet"/>
      <w:lvlText w:val=""/>
      <w:lvlJc w:val="left"/>
      <w:pPr>
        <w:ind w:left="4320" w:hanging="360"/>
      </w:pPr>
      <w:rPr>
        <w:rFonts w:ascii="Wingdings" w:hAnsi="Wingdings" w:hint="default"/>
      </w:rPr>
    </w:lvl>
    <w:lvl w:ilvl="6" w:tplc="7860636A" w:tentative="1">
      <w:start w:val="1"/>
      <w:numFmt w:val="bullet"/>
      <w:lvlText w:val=""/>
      <w:lvlJc w:val="left"/>
      <w:pPr>
        <w:ind w:left="5040" w:hanging="360"/>
      </w:pPr>
      <w:rPr>
        <w:rFonts w:ascii="Symbol" w:hAnsi="Symbol" w:hint="default"/>
      </w:rPr>
    </w:lvl>
    <w:lvl w:ilvl="7" w:tplc="4CA85C3E" w:tentative="1">
      <w:start w:val="1"/>
      <w:numFmt w:val="bullet"/>
      <w:lvlText w:val="o"/>
      <w:lvlJc w:val="left"/>
      <w:pPr>
        <w:ind w:left="5760" w:hanging="360"/>
      </w:pPr>
      <w:rPr>
        <w:rFonts w:ascii="Courier New" w:hAnsi="Courier New" w:cs="Courier New" w:hint="default"/>
      </w:rPr>
    </w:lvl>
    <w:lvl w:ilvl="8" w:tplc="49E6740C" w:tentative="1">
      <w:start w:val="1"/>
      <w:numFmt w:val="bullet"/>
      <w:lvlText w:val=""/>
      <w:lvlJc w:val="left"/>
      <w:pPr>
        <w:ind w:left="6480" w:hanging="360"/>
      </w:pPr>
      <w:rPr>
        <w:rFonts w:ascii="Wingdings" w:hAnsi="Wingdings" w:hint="default"/>
      </w:rPr>
    </w:lvl>
  </w:abstractNum>
  <w:abstractNum w:abstractNumId="5" w15:restartNumberingAfterBreak="0">
    <w:nsid w:val="30CC3D88"/>
    <w:multiLevelType w:val="hybridMultilevel"/>
    <w:tmpl w:val="63FE6BD6"/>
    <w:lvl w:ilvl="0" w:tplc="894A5344">
      <w:start w:val="1"/>
      <w:numFmt w:val="bullet"/>
      <w:pStyle w:val="ListParagraph"/>
      <w:lvlText w:val=""/>
      <w:lvlJc w:val="left"/>
      <w:pPr>
        <w:ind w:left="720" w:hanging="360"/>
      </w:pPr>
      <w:rPr>
        <w:rFonts w:ascii="Symbol" w:hAnsi="Symbol" w:hint="default"/>
      </w:rPr>
    </w:lvl>
    <w:lvl w:ilvl="1" w:tplc="CF66F300" w:tentative="1">
      <w:start w:val="1"/>
      <w:numFmt w:val="bullet"/>
      <w:lvlText w:val="o"/>
      <w:lvlJc w:val="left"/>
      <w:pPr>
        <w:ind w:left="1440" w:hanging="360"/>
      </w:pPr>
      <w:rPr>
        <w:rFonts w:ascii="Courier New" w:hAnsi="Courier New" w:cs="Courier New" w:hint="default"/>
      </w:rPr>
    </w:lvl>
    <w:lvl w:ilvl="2" w:tplc="12800AAC" w:tentative="1">
      <w:start w:val="1"/>
      <w:numFmt w:val="bullet"/>
      <w:lvlText w:val=""/>
      <w:lvlJc w:val="left"/>
      <w:pPr>
        <w:ind w:left="2160" w:hanging="360"/>
      </w:pPr>
      <w:rPr>
        <w:rFonts w:ascii="Wingdings" w:hAnsi="Wingdings" w:hint="default"/>
      </w:rPr>
    </w:lvl>
    <w:lvl w:ilvl="3" w:tplc="D9E6E4A4" w:tentative="1">
      <w:start w:val="1"/>
      <w:numFmt w:val="bullet"/>
      <w:lvlText w:val=""/>
      <w:lvlJc w:val="left"/>
      <w:pPr>
        <w:ind w:left="2880" w:hanging="360"/>
      </w:pPr>
      <w:rPr>
        <w:rFonts w:ascii="Symbol" w:hAnsi="Symbol" w:hint="default"/>
      </w:rPr>
    </w:lvl>
    <w:lvl w:ilvl="4" w:tplc="2604B964" w:tentative="1">
      <w:start w:val="1"/>
      <w:numFmt w:val="bullet"/>
      <w:lvlText w:val="o"/>
      <w:lvlJc w:val="left"/>
      <w:pPr>
        <w:ind w:left="3600" w:hanging="360"/>
      </w:pPr>
      <w:rPr>
        <w:rFonts w:ascii="Courier New" w:hAnsi="Courier New" w:cs="Courier New" w:hint="default"/>
      </w:rPr>
    </w:lvl>
    <w:lvl w:ilvl="5" w:tplc="D242E96E" w:tentative="1">
      <w:start w:val="1"/>
      <w:numFmt w:val="bullet"/>
      <w:lvlText w:val=""/>
      <w:lvlJc w:val="left"/>
      <w:pPr>
        <w:ind w:left="4320" w:hanging="360"/>
      </w:pPr>
      <w:rPr>
        <w:rFonts w:ascii="Wingdings" w:hAnsi="Wingdings" w:hint="default"/>
      </w:rPr>
    </w:lvl>
    <w:lvl w:ilvl="6" w:tplc="B5449950" w:tentative="1">
      <w:start w:val="1"/>
      <w:numFmt w:val="bullet"/>
      <w:lvlText w:val=""/>
      <w:lvlJc w:val="left"/>
      <w:pPr>
        <w:ind w:left="5040" w:hanging="360"/>
      </w:pPr>
      <w:rPr>
        <w:rFonts w:ascii="Symbol" w:hAnsi="Symbol" w:hint="default"/>
      </w:rPr>
    </w:lvl>
    <w:lvl w:ilvl="7" w:tplc="F8C2AFE0" w:tentative="1">
      <w:start w:val="1"/>
      <w:numFmt w:val="bullet"/>
      <w:lvlText w:val="o"/>
      <w:lvlJc w:val="left"/>
      <w:pPr>
        <w:ind w:left="5760" w:hanging="360"/>
      </w:pPr>
      <w:rPr>
        <w:rFonts w:ascii="Courier New" w:hAnsi="Courier New" w:cs="Courier New" w:hint="default"/>
      </w:rPr>
    </w:lvl>
    <w:lvl w:ilvl="8" w:tplc="BB60C7B6" w:tentative="1">
      <w:start w:val="1"/>
      <w:numFmt w:val="bullet"/>
      <w:lvlText w:val=""/>
      <w:lvlJc w:val="left"/>
      <w:pPr>
        <w:ind w:left="6480" w:hanging="360"/>
      </w:pPr>
      <w:rPr>
        <w:rFonts w:ascii="Wingdings" w:hAnsi="Wingdings" w:hint="default"/>
      </w:rPr>
    </w:lvl>
  </w:abstractNum>
  <w:abstractNum w:abstractNumId="6" w15:restartNumberingAfterBreak="0">
    <w:nsid w:val="438B7326"/>
    <w:multiLevelType w:val="hybridMultilevel"/>
    <w:tmpl w:val="9AF4E738"/>
    <w:lvl w:ilvl="0" w:tplc="3D8810B6">
      <w:start w:val="1"/>
      <w:numFmt w:val="bullet"/>
      <w:lvlText w:val=""/>
      <w:lvlJc w:val="left"/>
      <w:pPr>
        <w:ind w:left="360" w:hanging="360"/>
      </w:pPr>
      <w:rPr>
        <w:rFonts w:ascii="Symbol" w:hAnsi="Symbol" w:hint="default"/>
      </w:rPr>
    </w:lvl>
    <w:lvl w:ilvl="1" w:tplc="8D4E5594" w:tentative="1">
      <w:start w:val="1"/>
      <w:numFmt w:val="bullet"/>
      <w:lvlText w:val="o"/>
      <w:lvlJc w:val="left"/>
      <w:pPr>
        <w:ind w:left="1080" w:hanging="360"/>
      </w:pPr>
      <w:rPr>
        <w:rFonts w:ascii="Courier New" w:hAnsi="Courier New" w:cs="Courier New" w:hint="default"/>
      </w:rPr>
    </w:lvl>
    <w:lvl w:ilvl="2" w:tplc="88361B64" w:tentative="1">
      <w:start w:val="1"/>
      <w:numFmt w:val="bullet"/>
      <w:lvlText w:val=""/>
      <w:lvlJc w:val="left"/>
      <w:pPr>
        <w:ind w:left="1800" w:hanging="360"/>
      </w:pPr>
      <w:rPr>
        <w:rFonts w:ascii="Wingdings" w:hAnsi="Wingdings" w:hint="default"/>
      </w:rPr>
    </w:lvl>
    <w:lvl w:ilvl="3" w:tplc="3AAADC7E" w:tentative="1">
      <w:start w:val="1"/>
      <w:numFmt w:val="bullet"/>
      <w:lvlText w:val=""/>
      <w:lvlJc w:val="left"/>
      <w:pPr>
        <w:ind w:left="2520" w:hanging="360"/>
      </w:pPr>
      <w:rPr>
        <w:rFonts w:ascii="Symbol" w:hAnsi="Symbol" w:hint="default"/>
      </w:rPr>
    </w:lvl>
    <w:lvl w:ilvl="4" w:tplc="804EA18E" w:tentative="1">
      <w:start w:val="1"/>
      <w:numFmt w:val="bullet"/>
      <w:lvlText w:val="o"/>
      <w:lvlJc w:val="left"/>
      <w:pPr>
        <w:ind w:left="3240" w:hanging="360"/>
      </w:pPr>
      <w:rPr>
        <w:rFonts w:ascii="Courier New" w:hAnsi="Courier New" w:cs="Courier New" w:hint="default"/>
      </w:rPr>
    </w:lvl>
    <w:lvl w:ilvl="5" w:tplc="62B2D640" w:tentative="1">
      <w:start w:val="1"/>
      <w:numFmt w:val="bullet"/>
      <w:lvlText w:val=""/>
      <w:lvlJc w:val="left"/>
      <w:pPr>
        <w:ind w:left="3960" w:hanging="360"/>
      </w:pPr>
      <w:rPr>
        <w:rFonts w:ascii="Wingdings" w:hAnsi="Wingdings" w:hint="default"/>
      </w:rPr>
    </w:lvl>
    <w:lvl w:ilvl="6" w:tplc="02329F48" w:tentative="1">
      <w:start w:val="1"/>
      <w:numFmt w:val="bullet"/>
      <w:lvlText w:val=""/>
      <w:lvlJc w:val="left"/>
      <w:pPr>
        <w:ind w:left="4680" w:hanging="360"/>
      </w:pPr>
      <w:rPr>
        <w:rFonts w:ascii="Symbol" w:hAnsi="Symbol" w:hint="default"/>
      </w:rPr>
    </w:lvl>
    <w:lvl w:ilvl="7" w:tplc="39BC682E" w:tentative="1">
      <w:start w:val="1"/>
      <w:numFmt w:val="bullet"/>
      <w:lvlText w:val="o"/>
      <w:lvlJc w:val="left"/>
      <w:pPr>
        <w:ind w:left="5400" w:hanging="360"/>
      </w:pPr>
      <w:rPr>
        <w:rFonts w:ascii="Courier New" w:hAnsi="Courier New" w:cs="Courier New" w:hint="default"/>
      </w:rPr>
    </w:lvl>
    <w:lvl w:ilvl="8" w:tplc="1C146D7E" w:tentative="1">
      <w:start w:val="1"/>
      <w:numFmt w:val="bullet"/>
      <w:lvlText w:val=""/>
      <w:lvlJc w:val="left"/>
      <w:pPr>
        <w:ind w:left="6120" w:hanging="360"/>
      </w:pPr>
      <w:rPr>
        <w:rFonts w:ascii="Wingdings" w:hAnsi="Wingdings" w:hint="default"/>
      </w:rPr>
    </w:lvl>
  </w:abstractNum>
  <w:abstractNum w:abstractNumId="7"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4BDA38EA"/>
    <w:multiLevelType w:val="hybridMultilevel"/>
    <w:tmpl w:val="C792D492"/>
    <w:lvl w:ilvl="0" w:tplc="38348F72">
      <w:start w:val="1"/>
      <w:numFmt w:val="bullet"/>
      <w:lvlText w:val=""/>
      <w:lvlJc w:val="left"/>
      <w:pPr>
        <w:ind w:left="360" w:hanging="360"/>
      </w:pPr>
      <w:rPr>
        <w:rFonts w:ascii="Symbol" w:hAnsi="Symbol" w:hint="default"/>
        <w:color w:val="09424E"/>
      </w:rPr>
    </w:lvl>
    <w:lvl w:ilvl="1" w:tplc="6D6E710A" w:tentative="1">
      <w:start w:val="1"/>
      <w:numFmt w:val="bullet"/>
      <w:lvlText w:val="o"/>
      <w:lvlJc w:val="left"/>
      <w:pPr>
        <w:ind w:left="1440" w:hanging="360"/>
      </w:pPr>
      <w:rPr>
        <w:rFonts w:ascii="Courier New" w:hAnsi="Courier New" w:cs="Courier New" w:hint="default"/>
      </w:rPr>
    </w:lvl>
    <w:lvl w:ilvl="2" w:tplc="2EA4CC2C" w:tentative="1">
      <w:start w:val="1"/>
      <w:numFmt w:val="bullet"/>
      <w:lvlText w:val=""/>
      <w:lvlJc w:val="left"/>
      <w:pPr>
        <w:ind w:left="2160" w:hanging="360"/>
      </w:pPr>
      <w:rPr>
        <w:rFonts w:ascii="Wingdings" w:hAnsi="Wingdings" w:hint="default"/>
      </w:rPr>
    </w:lvl>
    <w:lvl w:ilvl="3" w:tplc="58ECB410" w:tentative="1">
      <w:start w:val="1"/>
      <w:numFmt w:val="bullet"/>
      <w:lvlText w:val=""/>
      <w:lvlJc w:val="left"/>
      <w:pPr>
        <w:ind w:left="2880" w:hanging="360"/>
      </w:pPr>
      <w:rPr>
        <w:rFonts w:ascii="Symbol" w:hAnsi="Symbol" w:hint="default"/>
      </w:rPr>
    </w:lvl>
    <w:lvl w:ilvl="4" w:tplc="3A66B938" w:tentative="1">
      <w:start w:val="1"/>
      <w:numFmt w:val="bullet"/>
      <w:lvlText w:val="o"/>
      <w:lvlJc w:val="left"/>
      <w:pPr>
        <w:ind w:left="3600" w:hanging="360"/>
      </w:pPr>
      <w:rPr>
        <w:rFonts w:ascii="Courier New" w:hAnsi="Courier New" w:cs="Courier New" w:hint="default"/>
      </w:rPr>
    </w:lvl>
    <w:lvl w:ilvl="5" w:tplc="3BAA3D80" w:tentative="1">
      <w:start w:val="1"/>
      <w:numFmt w:val="bullet"/>
      <w:lvlText w:val=""/>
      <w:lvlJc w:val="left"/>
      <w:pPr>
        <w:ind w:left="4320" w:hanging="360"/>
      </w:pPr>
      <w:rPr>
        <w:rFonts w:ascii="Wingdings" w:hAnsi="Wingdings" w:hint="default"/>
      </w:rPr>
    </w:lvl>
    <w:lvl w:ilvl="6" w:tplc="C242DCEC" w:tentative="1">
      <w:start w:val="1"/>
      <w:numFmt w:val="bullet"/>
      <w:lvlText w:val=""/>
      <w:lvlJc w:val="left"/>
      <w:pPr>
        <w:ind w:left="5040" w:hanging="360"/>
      </w:pPr>
      <w:rPr>
        <w:rFonts w:ascii="Symbol" w:hAnsi="Symbol" w:hint="default"/>
      </w:rPr>
    </w:lvl>
    <w:lvl w:ilvl="7" w:tplc="074A2580" w:tentative="1">
      <w:start w:val="1"/>
      <w:numFmt w:val="bullet"/>
      <w:lvlText w:val="o"/>
      <w:lvlJc w:val="left"/>
      <w:pPr>
        <w:ind w:left="5760" w:hanging="360"/>
      </w:pPr>
      <w:rPr>
        <w:rFonts w:ascii="Courier New" w:hAnsi="Courier New" w:cs="Courier New" w:hint="default"/>
      </w:rPr>
    </w:lvl>
    <w:lvl w:ilvl="8" w:tplc="ED94C96A" w:tentative="1">
      <w:start w:val="1"/>
      <w:numFmt w:val="bullet"/>
      <w:lvlText w:val=""/>
      <w:lvlJc w:val="left"/>
      <w:pPr>
        <w:ind w:left="6480" w:hanging="360"/>
      </w:pPr>
      <w:rPr>
        <w:rFonts w:ascii="Wingdings" w:hAnsi="Wingdings" w:hint="default"/>
      </w:rPr>
    </w:lvl>
  </w:abstractNum>
  <w:abstractNum w:abstractNumId="9" w15:restartNumberingAfterBreak="0">
    <w:nsid w:val="4E7518AC"/>
    <w:multiLevelType w:val="hybridMultilevel"/>
    <w:tmpl w:val="0B4E1246"/>
    <w:lvl w:ilvl="0" w:tplc="F4609D66">
      <w:start w:val="1"/>
      <w:numFmt w:val="bullet"/>
      <w:lvlText w:val=""/>
      <w:lvlJc w:val="left"/>
      <w:pPr>
        <w:ind w:left="360" w:hanging="360"/>
      </w:pPr>
      <w:rPr>
        <w:rFonts w:ascii="Symbol" w:hAnsi="Symbol" w:hint="default"/>
        <w:color w:val="09424E"/>
      </w:rPr>
    </w:lvl>
    <w:lvl w:ilvl="1" w:tplc="DEC4A90C">
      <w:start w:val="1"/>
      <w:numFmt w:val="bullet"/>
      <w:lvlText w:val="o"/>
      <w:lvlJc w:val="left"/>
      <w:pPr>
        <w:ind w:left="1080" w:hanging="360"/>
      </w:pPr>
      <w:rPr>
        <w:rFonts w:ascii="Courier New" w:hAnsi="Courier New" w:cs="Courier New" w:hint="default"/>
      </w:rPr>
    </w:lvl>
    <w:lvl w:ilvl="2" w:tplc="C81ED0AC" w:tentative="1">
      <w:start w:val="1"/>
      <w:numFmt w:val="bullet"/>
      <w:lvlText w:val=""/>
      <w:lvlJc w:val="left"/>
      <w:pPr>
        <w:ind w:left="1800" w:hanging="360"/>
      </w:pPr>
      <w:rPr>
        <w:rFonts w:ascii="Wingdings" w:hAnsi="Wingdings" w:hint="default"/>
      </w:rPr>
    </w:lvl>
    <w:lvl w:ilvl="3" w:tplc="D90AF888" w:tentative="1">
      <w:start w:val="1"/>
      <w:numFmt w:val="bullet"/>
      <w:lvlText w:val=""/>
      <w:lvlJc w:val="left"/>
      <w:pPr>
        <w:ind w:left="2520" w:hanging="360"/>
      </w:pPr>
      <w:rPr>
        <w:rFonts w:ascii="Symbol" w:hAnsi="Symbol" w:hint="default"/>
      </w:rPr>
    </w:lvl>
    <w:lvl w:ilvl="4" w:tplc="137260A8" w:tentative="1">
      <w:start w:val="1"/>
      <w:numFmt w:val="bullet"/>
      <w:lvlText w:val="o"/>
      <w:lvlJc w:val="left"/>
      <w:pPr>
        <w:ind w:left="3240" w:hanging="360"/>
      </w:pPr>
      <w:rPr>
        <w:rFonts w:ascii="Courier New" w:hAnsi="Courier New" w:cs="Courier New" w:hint="default"/>
      </w:rPr>
    </w:lvl>
    <w:lvl w:ilvl="5" w:tplc="9AD2E658" w:tentative="1">
      <w:start w:val="1"/>
      <w:numFmt w:val="bullet"/>
      <w:lvlText w:val=""/>
      <w:lvlJc w:val="left"/>
      <w:pPr>
        <w:ind w:left="3960" w:hanging="360"/>
      </w:pPr>
      <w:rPr>
        <w:rFonts w:ascii="Wingdings" w:hAnsi="Wingdings" w:hint="default"/>
      </w:rPr>
    </w:lvl>
    <w:lvl w:ilvl="6" w:tplc="47E6BED8" w:tentative="1">
      <w:start w:val="1"/>
      <w:numFmt w:val="bullet"/>
      <w:lvlText w:val=""/>
      <w:lvlJc w:val="left"/>
      <w:pPr>
        <w:ind w:left="4680" w:hanging="360"/>
      </w:pPr>
      <w:rPr>
        <w:rFonts w:ascii="Symbol" w:hAnsi="Symbol" w:hint="default"/>
      </w:rPr>
    </w:lvl>
    <w:lvl w:ilvl="7" w:tplc="0C0C6F32" w:tentative="1">
      <w:start w:val="1"/>
      <w:numFmt w:val="bullet"/>
      <w:lvlText w:val="o"/>
      <w:lvlJc w:val="left"/>
      <w:pPr>
        <w:ind w:left="5400" w:hanging="360"/>
      </w:pPr>
      <w:rPr>
        <w:rFonts w:ascii="Courier New" w:hAnsi="Courier New" w:cs="Courier New" w:hint="default"/>
      </w:rPr>
    </w:lvl>
    <w:lvl w:ilvl="8" w:tplc="696A6990" w:tentative="1">
      <w:start w:val="1"/>
      <w:numFmt w:val="bullet"/>
      <w:lvlText w:val=""/>
      <w:lvlJc w:val="left"/>
      <w:pPr>
        <w:ind w:left="6120" w:hanging="360"/>
      </w:pPr>
      <w:rPr>
        <w:rFonts w:ascii="Wingdings" w:hAnsi="Wingdings" w:hint="default"/>
      </w:rPr>
    </w:lvl>
  </w:abstractNum>
  <w:abstractNum w:abstractNumId="10" w15:restartNumberingAfterBreak="0">
    <w:nsid w:val="75D94E05"/>
    <w:multiLevelType w:val="hybridMultilevel"/>
    <w:tmpl w:val="C26A0A78"/>
    <w:lvl w:ilvl="0" w:tplc="8514B372">
      <w:start w:val="1"/>
      <w:numFmt w:val="decimal"/>
      <w:lvlText w:val="%1."/>
      <w:lvlJc w:val="left"/>
      <w:pPr>
        <w:ind w:left="360" w:hanging="360"/>
      </w:pPr>
    </w:lvl>
    <w:lvl w:ilvl="1" w:tplc="BF92E6CE" w:tentative="1">
      <w:start w:val="1"/>
      <w:numFmt w:val="lowerLetter"/>
      <w:lvlText w:val="%2."/>
      <w:lvlJc w:val="left"/>
      <w:pPr>
        <w:ind w:left="1080" w:hanging="360"/>
      </w:pPr>
    </w:lvl>
    <w:lvl w:ilvl="2" w:tplc="32C29998" w:tentative="1">
      <w:start w:val="1"/>
      <w:numFmt w:val="lowerRoman"/>
      <w:lvlText w:val="%3."/>
      <w:lvlJc w:val="right"/>
      <w:pPr>
        <w:ind w:left="1800" w:hanging="180"/>
      </w:pPr>
    </w:lvl>
    <w:lvl w:ilvl="3" w:tplc="06625750" w:tentative="1">
      <w:start w:val="1"/>
      <w:numFmt w:val="decimal"/>
      <w:lvlText w:val="%4."/>
      <w:lvlJc w:val="left"/>
      <w:pPr>
        <w:ind w:left="2520" w:hanging="360"/>
      </w:pPr>
    </w:lvl>
    <w:lvl w:ilvl="4" w:tplc="0DE0B394" w:tentative="1">
      <w:start w:val="1"/>
      <w:numFmt w:val="lowerLetter"/>
      <w:lvlText w:val="%5."/>
      <w:lvlJc w:val="left"/>
      <w:pPr>
        <w:ind w:left="3240" w:hanging="360"/>
      </w:pPr>
    </w:lvl>
    <w:lvl w:ilvl="5" w:tplc="B2B2D0C8" w:tentative="1">
      <w:start w:val="1"/>
      <w:numFmt w:val="lowerRoman"/>
      <w:lvlText w:val="%6."/>
      <w:lvlJc w:val="right"/>
      <w:pPr>
        <w:ind w:left="3960" w:hanging="180"/>
      </w:pPr>
    </w:lvl>
    <w:lvl w:ilvl="6" w:tplc="0DEA3530" w:tentative="1">
      <w:start w:val="1"/>
      <w:numFmt w:val="decimal"/>
      <w:lvlText w:val="%7."/>
      <w:lvlJc w:val="left"/>
      <w:pPr>
        <w:ind w:left="4680" w:hanging="360"/>
      </w:pPr>
    </w:lvl>
    <w:lvl w:ilvl="7" w:tplc="FF8C3CEE" w:tentative="1">
      <w:start w:val="1"/>
      <w:numFmt w:val="lowerLetter"/>
      <w:lvlText w:val="%8."/>
      <w:lvlJc w:val="left"/>
      <w:pPr>
        <w:ind w:left="5400" w:hanging="360"/>
      </w:pPr>
    </w:lvl>
    <w:lvl w:ilvl="8" w:tplc="00503D32" w:tentative="1">
      <w:start w:val="1"/>
      <w:numFmt w:val="lowerRoman"/>
      <w:lvlText w:val="%9."/>
      <w:lvlJc w:val="right"/>
      <w:pPr>
        <w:ind w:left="6120" w:hanging="180"/>
      </w:pPr>
    </w:lvl>
  </w:abstractNum>
  <w:abstractNum w:abstractNumId="11" w15:restartNumberingAfterBreak="0">
    <w:nsid w:val="7CF4685C"/>
    <w:multiLevelType w:val="hybridMultilevel"/>
    <w:tmpl w:val="C0FAD444"/>
    <w:lvl w:ilvl="0" w:tplc="71FE99F2">
      <w:start w:val="1"/>
      <w:numFmt w:val="bullet"/>
      <w:lvlText w:val=""/>
      <w:lvlJc w:val="left"/>
      <w:pPr>
        <w:ind w:left="360" w:hanging="360"/>
      </w:pPr>
      <w:rPr>
        <w:rFonts w:ascii="Symbol" w:hAnsi="Symbol" w:hint="default"/>
        <w:color w:val="09424E"/>
      </w:rPr>
    </w:lvl>
    <w:lvl w:ilvl="1" w:tplc="79DA2660" w:tentative="1">
      <w:start w:val="1"/>
      <w:numFmt w:val="bullet"/>
      <w:lvlText w:val="o"/>
      <w:lvlJc w:val="left"/>
      <w:pPr>
        <w:ind w:left="1440" w:hanging="360"/>
      </w:pPr>
      <w:rPr>
        <w:rFonts w:ascii="Courier New" w:hAnsi="Courier New" w:cs="Courier New" w:hint="default"/>
      </w:rPr>
    </w:lvl>
    <w:lvl w:ilvl="2" w:tplc="765AF5AA" w:tentative="1">
      <w:start w:val="1"/>
      <w:numFmt w:val="bullet"/>
      <w:lvlText w:val=""/>
      <w:lvlJc w:val="left"/>
      <w:pPr>
        <w:ind w:left="2160" w:hanging="360"/>
      </w:pPr>
      <w:rPr>
        <w:rFonts w:ascii="Wingdings" w:hAnsi="Wingdings" w:hint="default"/>
      </w:rPr>
    </w:lvl>
    <w:lvl w:ilvl="3" w:tplc="340AC6B6" w:tentative="1">
      <w:start w:val="1"/>
      <w:numFmt w:val="bullet"/>
      <w:lvlText w:val=""/>
      <w:lvlJc w:val="left"/>
      <w:pPr>
        <w:ind w:left="2880" w:hanging="360"/>
      </w:pPr>
      <w:rPr>
        <w:rFonts w:ascii="Symbol" w:hAnsi="Symbol" w:hint="default"/>
      </w:rPr>
    </w:lvl>
    <w:lvl w:ilvl="4" w:tplc="CD14EE56" w:tentative="1">
      <w:start w:val="1"/>
      <w:numFmt w:val="bullet"/>
      <w:lvlText w:val="o"/>
      <w:lvlJc w:val="left"/>
      <w:pPr>
        <w:ind w:left="3600" w:hanging="360"/>
      </w:pPr>
      <w:rPr>
        <w:rFonts w:ascii="Courier New" w:hAnsi="Courier New" w:cs="Courier New" w:hint="default"/>
      </w:rPr>
    </w:lvl>
    <w:lvl w:ilvl="5" w:tplc="E034B4EE" w:tentative="1">
      <w:start w:val="1"/>
      <w:numFmt w:val="bullet"/>
      <w:lvlText w:val=""/>
      <w:lvlJc w:val="left"/>
      <w:pPr>
        <w:ind w:left="4320" w:hanging="360"/>
      </w:pPr>
      <w:rPr>
        <w:rFonts w:ascii="Wingdings" w:hAnsi="Wingdings" w:hint="default"/>
      </w:rPr>
    </w:lvl>
    <w:lvl w:ilvl="6" w:tplc="94F6345C" w:tentative="1">
      <w:start w:val="1"/>
      <w:numFmt w:val="bullet"/>
      <w:lvlText w:val=""/>
      <w:lvlJc w:val="left"/>
      <w:pPr>
        <w:ind w:left="5040" w:hanging="360"/>
      </w:pPr>
      <w:rPr>
        <w:rFonts w:ascii="Symbol" w:hAnsi="Symbol" w:hint="default"/>
      </w:rPr>
    </w:lvl>
    <w:lvl w:ilvl="7" w:tplc="FAF2C8CC" w:tentative="1">
      <w:start w:val="1"/>
      <w:numFmt w:val="bullet"/>
      <w:lvlText w:val="o"/>
      <w:lvlJc w:val="left"/>
      <w:pPr>
        <w:ind w:left="5760" w:hanging="360"/>
      </w:pPr>
      <w:rPr>
        <w:rFonts w:ascii="Courier New" w:hAnsi="Courier New" w:cs="Courier New" w:hint="default"/>
      </w:rPr>
    </w:lvl>
    <w:lvl w:ilvl="8" w:tplc="BE988028" w:tentative="1">
      <w:start w:val="1"/>
      <w:numFmt w:val="bullet"/>
      <w:lvlText w:val=""/>
      <w:lvlJc w:val="left"/>
      <w:pPr>
        <w:ind w:left="6480" w:hanging="360"/>
      </w:pPr>
      <w:rPr>
        <w:rFonts w:ascii="Wingdings" w:hAnsi="Wingdings" w:hint="default"/>
      </w:rPr>
    </w:lvl>
  </w:abstractNum>
  <w:num w:numId="1" w16cid:durableId="1274170637">
    <w:abstractNumId w:val="3"/>
  </w:num>
  <w:num w:numId="2" w16cid:durableId="1882550123">
    <w:abstractNumId w:val="7"/>
  </w:num>
  <w:num w:numId="3" w16cid:durableId="995567529">
    <w:abstractNumId w:val="5"/>
  </w:num>
  <w:num w:numId="4" w16cid:durableId="682244878">
    <w:abstractNumId w:val="2"/>
  </w:num>
  <w:num w:numId="5" w16cid:durableId="1319923353">
    <w:abstractNumId w:val="10"/>
  </w:num>
  <w:num w:numId="6" w16cid:durableId="1688407512">
    <w:abstractNumId w:val="1"/>
  </w:num>
  <w:num w:numId="7" w16cid:durableId="1015038445">
    <w:abstractNumId w:val="0"/>
  </w:num>
  <w:num w:numId="8" w16cid:durableId="1259100856">
    <w:abstractNumId w:val="9"/>
  </w:num>
  <w:num w:numId="9" w16cid:durableId="862477683">
    <w:abstractNumId w:val="6"/>
  </w:num>
  <w:num w:numId="10" w16cid:durableId="261882961">
    <w:abstractNumId w:val="11"/>
  </w:num>
  <w:num w:numId="11" w16cid:durableId="1629046820">
    <w:abstractNumId w:val="4"/>
  </w:num>
  <w:num w:numId="12" w16cid:durableId="830367200">
    <w:abstractNumId w:val="8"/>
  </w:num>
  <w:num w:numId="13" w16cid:durableId="570389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A15"/>
    <w:rsid w:val="00003124"/>
    <w:rsid w:val="00007985"/>
    <w:rsid w:val="00016767"/>
    <w:rsid w:val="0002155B"/>
    <w:rsid w:val="000249B4"/>
    <w:rsid w:val="0002523B"/>
    <w:rsid w:val="0004018A"/>
    <w:rsid w:val="000425F7"/>
    <w:rsid w:val="000436FC"/>
    <w:rsid w:val="0005471A"/>
    <w:rsid w:val="00054CB5"/>
    <w:rsid w:val="00066E58"/>
    <w:rsid w:val="00074199"/>
    <w:rsid w:val="00076871"/>
    <w:rsid w:val="000772A8"/>
    <w:rsid w:val="0008181C"/>
    <w:rsid w:val="0008207E"/>
    <w:rsid w:val="00082FE2"/>
    <w:rsid w:val="00095A15"/>
    <w:rsid w:val="000A007E"/>
    <w:rsid w:val="000B57BD"/>
    <w:rsid w:val="000B61AC"/>
    <w:rsid w:val="000C0AD4"/>
    <w:rsid w:val="000C5B1B"/>
    <w:rsid w:val="000E1223"/>
    <w:rsid w:val="000E4088"/>
    <w:rsid w:val="000F4E58"/>
    <w:rsid w:val="000F7FDE"/>
    <w:rsid w:val="001000FC"/>
    <w:rsid w:val="00101904"/>
    <w:rsid w:val="0011122C"/>
    <w:rsid w:val="001206C4"/>
    <w:rsid w:val="001222EA"/>
    <w:rsid w:val="00133AB8"/>
    <w:rsid w:val="00134EFF"/>
    <w:rsid w:val="0014521E"/>
    <w:rsid w:val="0015131B"/>
    <w:rsid w:val="00151888"/>
    <w:rsid w:val="00181135"/>
    <w:rsid w:val="00190901"/>
    <w:rsid w:val="00190C24"/>
    <w:rsid w:val="00193E7E"/>
    <w:rsid w:val="001A361C"/>
    <w:rsid w:val="001A78CF"/>
    <w:rsid w:val="001A7947"/>
    <w:rsid w:val="001A7B29"/>
    <w:rsid w:val="001C11D2"/>
    <w:rsid w:val="001C43F0"/>
    <w:rsid w:val="001D6BE7"/>
    <w:rsid w:val="001E1ECE"/>
    <w:rsid w:val="001E37B7"/>
    <w:rsid w:val="001F2B12"/>
    <w:rsid w:val="001F3A36"/>
    <w:rsid w:val="002004A5"/>
    <w:rsid w:val="00220EDD"/>
    <w:rsid w:val="00226892"/>
    <w:rsid w:val="00227C27"/>
    <w:rsid w:val="002371F7"/>
    <w:rsid w:val="002375AA"/>
    <w:rsid w:val="0024520B"/>
    <w:rsid w:val="00264400"/>
    <w:rsid w:val="002706E8"/>
    <w:rsid w:val="00273E87"/>
    <w:rsid w:val="00276363"/>
    <w:rsid w:val="00286A54"/>
    <w:rsid w:val="002B15E5"/>
    <w:rsid w:val="002B5219"/>
    <w:rsid w:val="002B7607"/>
    <w:rsid w:val="002C47FC"/>
    <w:rsid w:val="002E232B"/>
    <w:rsid w:val="002E3563"/>
    <w:rsid w:val="002E3E34"/>
    <w:rsid w:val="002F78A2"/>
    <w:rsid w:val="00320670"/>
    <w:rsid w:val="003303EA"/>
    <w:rsid w:val="00337EAA"/>
    <w:rsid w:val="00341ED6"/>
    <w:rsid w:val="00355E78"/>
    <w:rsid w:val="00367608"/>
    <w:rsid w:val="0038096F"/>
    <w:rsid w:val="00385A56"/>
    <w:rsid w:val="00396D5E"/>
    <w:rsid w:val="003975D2"/>
    <w:rsid w:val="003A3EFC"/>
    <w:rsid w:val="003C33FE"/>
    <w:rsid w:val="003D1E9C"/>
    <w:rsid w:val="003D33F7"/>
    <w:rsid w:val="003D540F"/>
    <w:rsid w:val="003E4964"/>
    <w:rsid w:val="003E5C52"/>
    <w:rsid w:val="003E7D59"/>
    <w:rsid w:val="003F4AE4"/>
    <w:rsid w:val="003F643A"/>
    <w:rsid w:val="00402CFC"/>
    <w:rsid w:val="00403EF1"/>
    <w:rsid w:val="00404BCA"/>
    <w:rsid w:val="00416A49"/>
    <w:rsid w:val="00440F65"/>
    <w:rsid w:val="00442FE1"/>
    <w:rsid w:val="004468D2"/>
    <w:rsid w:val="004562DA"/>
    <w:rsid w:val="00463D99"/>
    <w:rsid w:val="0046493B"/>
    <w:rsid w:val="00466094"/>
    <w:rsid w:val="00476A07"/>
    <w:rsid w:val="004A5E19"/>
    <w:rsid w:val="004D16FA"/>
    <w:rsid w:val="004D79EE"/>
    <w:rsid w:val="004E5A25"/>
    <w:rsid w:val="004E62A1"/>
    <w:rsid w:val="004F09F8"/>
    <w:rsid w:val="004F5AEE"/>
    <w:rsid w:val="00516966"/>
    <w:rsid w:val="00524D59"/>
    <w:rsid w:val="00540992"/>
    <w:rsid w:val="00540FB2"/>
    <w:rsid w:val="00543A32"/>
    <w:rsid w:val="00544741"/>
    <w:rsid w:val="00555585"/>
    <w:rsid w:val="0055582F"/>
    <w:rsid w:val="00555C3B"/>
    <w:rsid w:val="005A28EB"/>
    <w:rsid w:val="005B0EC5"/>
    <w:rsid w:val="005B79A8"/>
    <w:rsid w:val="005C0648"/>
    <w:rsid w:val="005C68D9"/>
    <w:rsid w:val="005C7A23"/>
    <w:rsid w:val="005F3888"/>
    <w:rsid w:val="005F4331"/>
    <w:rsid w:val="00613708"/>
    <w:rsid w:val="0062040F"/>
    <w:rsid w:val="006239A5"/>
    <w:rsid w:val="0062552C"/>
    <w:rsid w:val="006277E2"/>
    <w:rsid w:val="00633374"/>
    <w:rsid w:val="00634728"/>
    <w:rsid w:val="00636B71"/>
    <w:rsid w:val="006420CC"/>
    <w:rsid w:val="00646AE8"/>
    <w:rsid w:val="00654249"/>
    <w:rsid w:val="00664A9F"/>
    <w:rsid w:val="00672747"/>
    <w:rsid w:val="006753FD"/>
    <w:rsid w:val="0068382A"/>
    <w:rsid w:val="0068756E"/>
    <w:rsid w:val="00695E22"/>
    <w:rsid w:val="0069624C"/>
    <w:rsid w:val="006C215F"/>
    <w:rsid w:val="006C3D8E"/>
    <w:rsid w:val="006D0BCD"/>
    <w:rsid w:val="006E1C19"/>
    <w:rsid w:val="006F0011"/>
    <w:rsid w:val="006F7E7C"/>
    <w:rsid w:val="007040FD"/>
    <w:rsid w:val="007274E7"/>
    <w:rsid w:val="007619E1"/>
    <w:rsid w:val="007654FF"/>
    <w:rsid w:val="007656CF"/>
    <w:rsid w:val="00765C94"/>
    <w:rsid w:val="0079404B"/>
    <w:rsid w:val="007B4E7E"/>
    <w:rsid w:val="007D023E"/>
    <w:rsid w:val="007D0BEA"/>
    <w:rsid w:val="007D3462"/>
    <w:rsid w:val="007F158F"/>
    <w:rsid w:val="0080579A"/>
    <w:rsid w:val="00810926"/>
    <w:rsid w:val="008171D4"/>
    <w:rsid w:val="0081797E"/>
    <w:rsid w:val="00831A2A"/>
    <w:rsid w:val="0083235D"/>
    <w:rsid w:val="00834179"/>
    <w:rsid w:val="00834A89"/>
    <w:rsid w:val="0084602D"/>
    <w:rsid w:val="00852BD5"/>
    <w:rsid w:val="00864110"/>
    <w:rsid w:val="008641E2"/>
    <w:rsid w:val="0088002B"/>
    <w:rsid w:val="00882017"/>
    <w:rsid w:val="00887A49"/>
    <w:rsid w:val="008A4FA7"/>
    <w:rsid w:val="008A7AFC"/>
    <w:rsid w:val="008B69F1"/>
    <w:rsid w:val="008D7F63"/>
    <w:rsid w:val="00903E31"/>
    <w:rsid w:val="00907963"/>
    <w:rsid w:val="00907F57"/>
    <w:rsid w:val="0092039C"/>
    <w:rsid w:val="009222D8"/>
    <w:rsid w:val="00927F4C"/>
    <w:rsid w:val="00931647"/>
    <w:rsid w:val="00936613"/>
    <w:rsid w:val="00956995"/>
    <w:rsid w:val="0096078C"/>
    <w:rsid w:val="0096595E"/>
    <w:rsid w:val="009659AB"/>
    <w:rsid w:val="00992DBD"/>
    <w:rsid w:val="009A5056"/>
    <w:rsid w:val="009A7275"/>
    <w:rsid w:val="009B4A4E"/>
    <w:rsid w:val="009B7893"/>
    <w:rsid w:val="009D6711"/>
    <w:rsid w:val="009E5EE5"/>
    <w:rsid w:val="009F02B3"/>
    <w:rsid w:val="009F711E"/>
    <w:rsid w:val="00A14103"/>
    <w:rsid w:val="00A25FB3"/>
    <w:rsid w:val="00A36618"/>
    <w:rsid w:val="00A37A8D"/>
    <w:rsid w:val="00A40883"/>
    <w:rsid w:val="00A47F67"/>
    <w:rsid w:val="00A57F09"/>
    <w:rsid w:val="00A65710"/>
    <w:rsid w:val="00A7423D"/>
    <w:rsid w:val="00A7482C"/>
    <w:rsid w:val="00A86680"/>
    <w:rsid w:val="00A905EB"/>
    <w:rsid w:val="00A91C9C"/>
    <w:rsid w:val="00AA2851"/>
    <w:rsid w:val="00AB0A25"/>
    <w:rsid w:val="00AB1ACF"/>
    <w:rsid w:val="00AB5786"/>
    <w:rsid w:val="00AC555D"/>
    <w:rsid w:val="00AC75A8"/>
    <w:rsid w:val="00AD2501"/>
    <w:rsid w:val="00AD3723"/>
    <w:rsid w:val="00AD5F26"/>
    <w:rsid w:val="00AE022D"/>
    <w:rsid w:val="00AF2FBD"/>
    <w:rsid w:val="00AF5784"/>
    <w:rsid w:val="00AF6928"/>
    <w:rsid w:val="00AF7DD9"/>
    <w:rsid w:val="00B04635"/>
    <w:rsid w:val="00B1572C"/>
    <w:rsid w:val="00B23C87"/>
    <w:rsid w:val="00B30EA8"/>
    <w:rsid w:val="00B33337"/>
    <w:rsid w:val="00B446E9"/>
    <w:rsid w:val="00B55032"/>
    <w:rsid w:val="00B613E4"/>
    <w:rsid w:val="00B65488"/>
    <w:rsid w:val="00B66510"/>
    <w:rsid w:val="00B70170"/>
    <w:rsid w:val="00B8699D"/>
    <w:rsid w:val="00B93868"/>
    <w:rsid w:val="00B9593D"/>
    <w:rsid w:val="00B9771E"/>
    <w:rsid w:val="00BA2EC8"/>
    <w:rsid w:val="00BC4AA9"/>
    <w:rsid w:val="00BC6556"/>
    <w:rsid w:val="00BD0F68"/>
    <w:rsid w:val="00BD2487"/>
    <w:rsid w:val="00BD2974"/>
    <w:rsid w:val="00C00D5E"/>
    <w:rsid w:val="00C07E26"/>
    <w:rsid w:val="00C10AF5"/>
    <w:rsid w:val="00C14667"/>
    <w:rsid w:val="00C15D22"/>
    <w:rsid w:val="00C23247"/>
    <w:rsid w:val="00C31759"/>
    <w:rsid w:val="00C33A93"/>
    <w:rsid w:val="00C42472"/>
    <w:rsid w:val="00C5105C"/>
    <w:rsid w:val="00C51A70"/>
    <w:rsid w:val="00C51D08"/>
    <w:rsid w:val="00C67F31"/>
    <w:rsid w:val="00C776DA"/>
    <w:rsid w:val="00C869E3"/>
    <w:rsid w:val="00CA1D46"/>
    <w:rsid w:val="00CA2FD9"/>
    <w:rsid w:val="00CA66DC"/>
    <w:rsid w:val="00CB07AD"/>
    <w:rsid w:val="00CB25A3"/>
    <w:rsid w:val="00CB609F"/>
    <w:rsid w:val="00CC7632"/>
    <w:rsid w:val="00CD57A1"/>
    <w:rsid w:val="00CD793C"/>
    <w:rsid w:val="00CE4B4E"/>
    <w:rsid w:val="00CF64C0"/>
    <w:rsid w:val="00D01CD2"/>
    <w:rsid w:val="00D046BE"/>
    <w:rsid w:val="00D12B14"/>
    <w:rsid w:val="00D13431"/>
    <w:rsid w:val="00D23470"/>
    <w:rsid w:val="00D331A4"/>
    <w:rsid w:val="00D410A9"/>
    <w:rsid w:val="00D41E5E"/>
    <w:rsid w:val="00D517CD"/>
    <w:rsid w:val="00D74F25"/>
    <w:rsid w:val="00D75050"/>
    <w:rsid w:val="00D77B8D"/>
    <w:rsid w:val="00D842DF"/>
    <w:rsid w:val="00D94442"/>
    <w:rsid w:val="00DA6B63"/>
    <w:rsid w:val="00DB0470"/>
    <w:rsid w:val="00DB3491"/>
    <w:rsid w:val="00DC55FC"/>
    <w:rsid w:val="00DC5E03"/>
    <w:rsid w:val="00DD5973"/>
    <w:rsid w:val="00DE1E49"/>
    <w:rsid w:val="00DF1201"/>
    <w:rsid w:val="00DF21CB"/>
    <w:rsid w:val="00DF2836"/>
    <w:rsid w:val="00E149FF"/>
    <w:rsid w:val="00E15737"/>
    <w:rsid w:val="00E3336E"/>
    <w:rsid w:val="00E42000"/>
    <w:rsid w:val="00E441D6"/>
    <w:rsid w:val="00E46FDC"/>
    <w:rsid w:val="00E47FB8"/>
    <w:rsid w:val="00E60CAA"/>
    <w:rsid w:val="00E872C5"/>
    <w:rsid w:val="00E92073"/>
    <w:rsid w:val="00E95FE1"/>
    <w:rsid w:val="00EA2EFC"/>
    <w:rsid w:val="00ED79CA"/>
    <w:rsid w:val="00EF474F"/>
    <w:rsid w:val="00EF4AC5"/>
    <w:rsid w:val="00EF69E9"/>
    <w:rsid w:val="00F003DF"/>
    <w:rsid w:val="00F16981"/>
    <w:rsid w:val="00F17E31"/>
    <w:rsid w:val="00F367B3"/>
    <w:rsid w:val="00F37CA9"/>
    <w:rsid w:val="00F43573"/>
    <w:rsid w:val="00F447A2"/>
    <w:rsid w:val="00F629DF"/>
    <w:rsid w:val="00F629EC"/>
    <w:rsid w:val="00F7165C"/>
    <w:rsid w:val="00F92F18"/>
    <w:rsid w:val="00FA1DC8"/>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19CD2"/>
  <w15:chartTrackingRefBased/>
  <w15:docId w15:val="{51A12315-C111-45E4-9E48-5343D3A5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copy"/>
    <w:qFormat/>
    <w:rsid w:val="00095A15"/>
    <w:pPr>
      <w:spacing w:after="200" w:line="276" w:lineRule="auto"/>
    </w:pPr>
    <w:rPr>
      <w:rFonts w:ascii="Arial" w:eastAsia="Times New Roman" w:hAnsi="Arial" w:cs="Arial"/>
      <w:sz w:val="21"/>
      <w:szCs w:val="21"/>
      <w:lang w:val="en-US" w:eastAsia="en-AU"/>
    </w:rPr>
  </w:style>
  <w:style w:type="paragraph" w:styleId="Heading1">
    <w:name w:val="heading 1"/>
    <w:basedOn w:val="Normal"/>
    <w:next w:val="Normal"/>
    <w:link w:val="Heading1Char"/>
    <w:autoRedefine/>
    <w:qFormat/>
    <w:rsid w:val="00095A15"/>
    <w:pPr>
      <w:widowControl w:val="0"/>
      <w:suppressAutoHyphens/>
      <w:autoSpaceDE w:val="0"/>
      <w:autoSpaceDN w:val="0"/>
      <w:adjustRightInd w:val="0"/>
      <w:spacing w:before="100" w:beforeAutospacing="1" w:after="100" w:afterAutospacing="1" w:line="240" w:lineRule="auto"/>
      <w:jc w:val="center"/>
      <w:textAlignment w:val="center"/>
      <w:outlineLvl w:val="0"/>
    </w:pPr>
    <w:rPr>
      <w:rFonts w:ascii="Aptos" w:eastAsia="MS Mincho" w:hAnsi="Aptos"/>
      <w:b/>
      <w:color w:val="05325F" w:themeColor="text2"/>
      <w:sz w:val="36"/>
      <w:szCs w:val="48"/>
      <w:lang w:val="en-GB"/>
    </w:rPr>
  </w:style>
  <w:style w:type="paragraph" w:styleId="Heading2">
    <w:name w:val="heading 2"/>
    <w:basedOn w:val="Normal"/>
    <w:next w:val="Normal"/>
    <w:link w:val="Heading2Char"/>
    <w:autoRedefine/>
    <w:unhideWhenUsed/>
    <w:qFormat/>
    <w:rsid w:val="00D046BE"/>
    <w:pPr>
      <w:spacing w:before="100" w:beforeAutospacing="1" w:after="100" w:afterAutospacing="1" w:line="240" w:lineRule="auto"/>
      <w:outlineLvl w:val="1"/>
    </w:pPr>
    <w:rPr>
      <w:b/>
      <w:bCs/>
      <w:sz w:val="32"/>
      <w:szCs w:val="40"/>
    </w:rPr>
  </w:style>
  <w:style w:type="paragraph" w:styleId="Heading3">
    <w:name w:val="heading 3"/>
    <w:basedOn w:val="Normal"/>
    <w:next w:val="Normal"/>
    <w:link w:val="Heading3Char"/>
    <w:autoRedefine/>
    <w:unhideWhenUsed/>
    <w:qFormat/>
    <w:rsid w:val="007274E7"/>
    <w:pPr>
      <w:spacing w:before="240"/>
      <w:outlineLvl w:val="2"/>
    </w:pPr>
    <w:rPr>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01CD2"/>
    <w:pPr>
      <w:tabs>
        <w:tab w:val="center" w:pos="4513"/>
        <w:tab w:val="right" w:pos="9026"/>
      </w:tabs>
    </w:pPr>
  </w:style>
  <w:style w:type="character" w:customStyle="1" w:styleId="HeaderChar">
    <w:name w:val="Header Char"/>
    <w:basedOn w:val="DefaultParagraphFont"/>
    <w:link w:val="Header"/>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rsid w:val="00095A15"/>
    <w:rPr>
      <w:rFonts w:ascii="Aptos" w:eastAsia="MS Mincho" w:hAnsi="Aptos" w:cs="Arial"/>
      <w:b/>
      <w:color w:val="05325F" w:themeColor="text2"/>
      <w:sz w:val="36"/>
      <w:szCs w:val="48"/>
      <w:lang w:val="en-GB" w:eastAsia="en-AU"/>
    </w:rPr>
  </w:style>
  <w:style w:type="character" w:customStyle="1" w:styleId="Heading2Char">
    <w:name w:val="Heading 2 Char"/>
    <w:basedOn w:val="DefaultParagraphFont"/>
    <w:link w:val="Heading2"/>
    <w:rsid w:val="00D046BE"/>
    <w:rPr>
      <w:rFonts w:ascii="Arial" w:eastAsia="Times New Roman" w:hAnsi="Arial" w:cs="Arial"/>
      <w:b/>
      <w:bCs/>
      <w:sz w:val="32"/>
      <w:szCs w:val="40"/>
      <w:lang w:val="en-US" w:eastAsia="en-AU"/>
    </w:rPr>
  </w:style>
  <w:style w:type="character" w:customStyle="1" w:styleId="Heading3Char">
    <w:name w:val="Heading 3 Char"/>
    <w:basedOn w:val="DefaultParagraphFont"/>
    <w:link w:val="Heading3"/>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cs="Times New Roman"/>
      <w:szCs w:val="20"/>
    </w:rPr>
  </w:style>
  <w:style w:type="paragraph" w:customStyle="1" w:styleId="Tableheadings">
    <w:name w:val="Table headings"/>
    <w:basedOn w:val="Normal"/>
    <w:rsid w:val="0055582F"/>
    <w:pPr>
      <w:spacing w:after="0" w:line="264" w:lineRule="auto"/>
    </w:pPr>
    <w:rPr>
      <w:rFonts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eastAsia="en-AU"/>
    </w:rPr>
  </w:style>
  <w:style w:type="paragraph" w:styleId="ListBullet">
    <w:name w:val="List Bullet"/>
    <w:basedOn w:val="Normal"/>
    <w:rsid w:val="00095A15"/>
    <w:pPr>
      <w:numPr>
        <w:numId w:val="6"/>
      </w:numPr>
      <w:spacing w:after="120"/>
      <w:contextualSpacing/>
    </w:pPr>
  </w:style>
  <w:style w:type="paragraph" w:styleId="ListNumber">
    <w:name w:val="List Number"/>
    <w:basedOn w:val="Normal"/>
    <w:rsid w:val="00095A15"/>
    <w:pPr>
      <w:numPr>
        <w:numId w:val="7"/>
      </w:numPr>
      <w:spacing w:after="120"/>
      <w:contextualSpacing/>
    </w:pPr>
  </w:style>
  <w:style w:type="character" w:styleId="Hyperlink">
    <w:name w:val="Hyperlink"/>
    <w:uiPriority w:val="99"/>
    <w:unhideWhenUsed/>
    <w:rsid w:val="00095A15"/>
    <w:rPr>
      <w:color w:val="0000FF"/>
      <w:u w:val="single"/>
    </w:rPr>
  </w:style>
  <w:style w:type="paragraph" w:customStyle="1" w:styleId="Tableheader">
    <w:name w:val="Table header"/>
    <w:basedOn w:val="Normal"/>
    <w:qFormat/>
    <w:rsid w:val="00095A15"/>
    <w:pPr>
      <w:spacing w:before="80" w:after="80" w:line="240" w:lineRule="auto"/>
      <w:ind w:left="62" w:right="62"/>
    </w:pPr>
    <w:rPr>
      <w:color w:val="FFFFFF"/>
    </w:rPr>
  </w:style>
  <w:style w:type="character" w:styleId="CommentReference">
    <w:name w:val="annotation reference"/>
    <w:basedOn w:val="DefaultParagraphFont"/>
    <w:uiPriority w:val="99"/>
    <w:semiHidden/>
    <w:unhideWhenUsed/>
    <w:rsid w:val="00095A15"/>
    <w:rPr>
      <w:sz w:val="16"/>
      <w:szCs w:val="16"/>
    </w:rPr>
  </w:style>
  <w:style w:type="paragraph" w:styleId="CommentText">
    <w:name w:val="annotation text"/>
    <w:basedOn w:val="Normal"/>
    <w:link w:val="CommentTextChar"/>
    <w:uiPriority w:val="99"/>
    <w:unhideWhenUsed/>
    <w:rsid w:val="00095A15"/>
    <w:pPr>
      <w:spacing w:line="240" w:lineRule="auto"/>
    </w:pPr>
    <w:rPr>
      <w:sz w:val="20"/>
      <w:szCs w:val="20"/>
    </w:rPr>
  </w:style>
  <w:style w:type="character" w:customStyle="1" w:styleId="CommentTextChar">
    <w:name w:val="Comment Text Char"/>
    <w:basedOn w:val="DefaultParagraphFont"/>
    <w:link w:val="CommentText"/>
    <w:uiPriority w:val="99"/>
    <w:rsid w:val="00095A15"/>
    <w:rPr>
      <w:rFonts w:ascii="Arial" w:eastAsia="Times New Roman" w:hAnsi="Arial" w:cs="Arial"/>
      <w:sz w:val="20"/>
      <w:szCs w:val="20"/>
      <w:lang w:val="en-US" w:eastAsia="en-AU"/>
    </w:rPr>
  </w:style>
  <w:style w:type="character" w:styleId="FootnoteReference">
    <w:name w:val="footnote reference"/>
    <w:basedOn w:val="DefaultParagraphFont"/>
    <w:uiPriority w:val="99"/>
    <w:semiHidden/>
    <w:unhideWhenUsed/>
    <w:rsid w:val="00095A15"/>
    <w:rPr>
      <w:vertAlign w:val="superscript"/>
    </w:rPr>
  </w:style>
  <w:style w:type="character" w:customStyle="1" w:styleId="UnresolvedMention1">
    <w:name w:val="Unresolved Mention1"/>
    <w:basedOn w:val="DefaultParagraphFont"/>
    <w:uiPriority w:val="99"/>
    <w:rsid w:val="0008181C"/>
    <w:rPr>
      <w:color w:val="605E5C"/>
      <w:shd w:val="clear" w:color="auto" w:fill="E1DFDD"/>
    </w:rPr>
  </w:style>
  <w:style w:type="paragraph" w:customStyle="1" w:styleId="Style1">
    <w:name w:val="Style1"/>
    <w:basedOn w:val="Heading1"/>
    <w:qFormat/>
    <w:rsid w:val="007619E1"/>
  </w:style>
  <w:style w:type="character" w:styleId="FollowedHyperlink">
    <w:name w:val="FollowedHyperlink"/>
    <w:basedOn w:val="DefaultParagraphFont"/>
    <w:uiPriority w:val="99"/>
    <w:semiHidden/>
    <w:unhideWhenUsed/>
    <w:rsid w:val="0015188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149FF"/>
    <w:rPr>
      <w:b/>
      <w:bCs/>
    </w:rPr>
  </w:style>
  <w:style w:type="character" w:customStyle="1" w:styleId="CommentSubjectChar">
    <w:name w:val="Comment Subject Char"/>
    <w:basedOn w:val="CommentTextChar"/>
    <w:link w:val="CommentSubject"/>
    <w:uiPriority w:val="99"/>
    <w:semiHidden/>
    <w:rsid w:val="00E149FF"/>
    <w:rPr>
      <w:rFonts w:ascii="Arial" w:eastAsia="Times New Roman" w:hAnsi="Arial" w:cs="Arial"/>
      <w:b/>
      <w:bCs/>
      <w:sz w:val="20"/>
      <w:szCs w:val="20"/>
      <w:lang w:val="en-US" w:eastAsia="en-AU"/>
    </w:rPr>
  </w:style>
  <w:style w:type="paragraph" w:styleId="Revision">
    <w:name w:val="Revision"/>
    <w:hidden/>
    <w:uiPriority w:val="99"/>
    <w:semiHidden/>
    <w:rsid w:val="00A14103"/>
    <w:rPr>
      <w:rFonts w:ascii="Arial" w:eastAsia="Times New Roman" w:hAnsi="Arial" w:cs="Arial"/>
      <w:sz w:val="21"/>
      <w:szCs w:val="21"/>
      <w:lang w:val="en-US" w:eastAsia="en-AU"/>
    </w:rPr>
  </w:style>
  <w:style w:type="character" w:styleId="UnresolvedMention">
    <w:name w:val="Unresolved Mention"/>
    <w:basedOn w:val="DefaultParagraphFont"/>
    <w:uiPriority w:val="99"/>
    <w:rsid w:val="00B65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dsdsatsip.qld.gov.au/contact-us/regional-service-centres" TargetMode="External"/><Relationship Id="rId3" Type="http://schemas.openxmlformats.org/officeDocument/2006/relationships/customXml" Target="../customXml/item3.xml"/><Relationship Id="rId21" Type="http://schemas.openxmlformats.org/officeDocument/2006/relationships/hyperlink" Target="mailto:crg@dwatsipm.qld.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atsip.smartygrants.com.au/CRG202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luecard.qld.gov.au/bluecardprocess.html" TargetMode="External"/><Relationship Id="rId20" Type="http://schemas.openxmlformats.org/officeDocument/2006/relationships/hyperlink" Target="https://www.ato.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reconciliation.org.au" TargetMode="External"/><Relationship Id="rId23" Type="http://schemas.openxmlformats.org/officeDocument/2006/relationships/hyperlink" Target="mailto:crg@dwatsipm.qld.gov.au" TargetMode="External"/><Relationship Id="rId10" Type="http://schemas.openxmlformats.org/officeDocument/2006/relationships/footnotes" Target="footnotes.xml"/><Relationship Id="rId19" Type="http://schemas.openxmlformats.org/officeDocument/2006/relationships/hyperlink" Target="mailto:crg@dwatsipm.qld.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dsdsatsip.qld.gov.au/contact-us/regional-service-centr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allpor\Downloads\deliverqld-word-template-arial-a4p%20(1).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QREDJ4H4ZNCU-2137131871-1255229</_dlc_DocId>
    <_dlc_DocIdUrl xmlns="45624441-df11-4972-b940-84743b8edd13">
      <Url>https://dpcqld.sharepoint.com/sites/dpc-filestore1/_layouts/15/DocIdRedir.aspx?ID=QREDJ4H4ZNCU-2137131871-1255229</Url>
      <Description>QREDJ4H4ZNCU-2137131871-1255229</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55E8B-6177-423A-8434-C94A74EEE5E8}">
  <ds:schemaRefs>
    <ds:schemaRef ds:uri="http://purl.org/dc/elements/1.1/"/>
    <ds:schemaRef ds:uri="http://schemas.microsoft.com/office/2006/documentManagement/types"/>
    <ds:schemaRef ds:uri="http://purl.org/dc/dcmitype/"/>
    <ds:schemaRef ds:uri="http://purl.org/dc/terms/"/>
    <ds:schemaRef ds:uri="45624441-df11-4972-b940-84743b8edd13"/>
    <ds:schemaRef ds:uri="http://schemas.openxmlformats.org/package/2006/metadata/core-properties"/>
    <ds:schemaRef ds:uri="http://www.w3.org/XML/1998/namespace"/>
    <ds:schemaRef ds:uri="http://schemas.microsoft.com/office/infopath/2007/PartnerControls"/>
    <ds:schemaRef ds:uri="05a03ac3-062e-4e77-aff9-6a8c9933ce22"/>
    <ds:schemaRef ds:uri="http://schemas.microsoft.com/office/2006/metadata/properties"/>
  </ds:schemaRefs>
</ds:datastoreItem>
</file>

<file path=customXml/itemProps2.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4.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5.xml><?xml version="1.0" encoding="utf-8"?>
<ds:datastoreItem xmlns:ds="http://schemas.openxmlformats.org/officeDocument/2006/customXml" ds:itemID="{11A8E334-6D34-4C00-AF44-9F7D7DDECADC}">
  <ds:schemaRefs>
    <ds:schemaRef ds:uri="http://schemas.microsoft.com/sharepoint/v3/contenttype/forms"/>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deliverqld-word-template-arial-a4p (1).dotx</Template>
  <TotalTime>3</TotalTime>
  <Pages>5</Pages>
  <Words>2042</Words>
  <Characters>11644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Celebrating Reconciliation Grants 2026 Funding Guidelines</vt:lpstr>
    </vt:vector>
  </TitlesOfParts>
  <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Celebrating Reconciliation Grants 2026 Funding Guidelines</dc:title>
  <dc:subject>The 2026 Celebrating Reconciliation Grants support and showcase Queensland’s reconciliation activities, promote understanding and social cohesion between Aboriginal and Torres Strait Islander peoples and non-Indigenous Queenslanders.</dc:subject>
  <dc:creator>Queensland Government</dc:creator>
  <cp:lastModifiedBy>Madolline Gourley</cp:lastModifiedBy>
  <cp:revision>3</cp:revision>
  <cp:lastPrinted>2026-02-10T23:10:00Z</cp:lastPrinted>
  <dcterms:created xsi:type="dcterms:W3CDTF">2026-02-26T01:35:00Z</dcterms:created>
  <dcterms:modified xsi:type="dcterms:W3CDTF">2026-02-26T01:37:00Z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MediaServiceImageTags">
    <vt:lpwstr/>
  </property>
  <property fmtid="{D5CDD505-2E9C-101B-9397-08002B2CF9AE}" pid="4" name="_dlc_DocIdItemGuid">
    <vt:lpwstr>177437fe-fcd7-42fc-a979-86efea21a4c1</vt:lpwstr>
  </property>
</Properties>
</file>